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130C7A" w:rsidRDefault="00E77CB3" w:rsidP="00130C7A">
      <w:pPr>
        <w:jc w:val="center"/>
        <w:rPr>
          <w:lang w:val="fr-FR"/>
        </w:rPr>
      </w:pPr>
    </w:p>
    <w:p w:rsidR="00195C39" w:rsidRPr="00130C7A" w:rsidRDefault="00195C39" w:rsidP="00130C7A">
      <w:pPr>
        <w:jc w:val="center"/>
        <w:rPr>
          <w:lang w:val="fr-FR"/>
        </w:rPr>
      </w:pPr>
    </w:p>
    <w:p w:rsidR="00195C39" w:rsidRPr="00130C7A" w:rsidRDefault="00195C39" w:rsidP="00130C7A">
      <w:pPr>
        <w:jc w:val="center"/>
        <w:rPr>
          <w:lang w:val="fr-FR"/>
        </w:rPr>
      </w:pPr>
    </w:p>
    <w:p w:rsidR="00E77CB3" w:rsidRPr="00130C7A" w:rsidRDefault="00F71371" w:rsidP="00130C7A">
      <w:pPr>
        <w:jc w:val="center"/>
        <w:rPr>
          <w:lang w:val="fr-FR"/>
        </w:rPr>
      </w:pPr>
      <w:r w:rsidRPr="00130C7A">
        <w:rPr>
          <w:lang w:val="fr-FR"/>
        </w:rPr>
        <w:t>PREMIÈRE SECTION</w:t>
      </w:r>
    </w:p>
    <w:p w:rsidR="00E77CB3" w:rsidRPr="00130C7A" w:rsidRDefault="00E77CB3" w:rsidP="00130C7A">
      <w:pPr>
        <w:jc w:val="center"/>
        <w:rPr>
          <w:lang w:val="fr-FR"/>
        </w:rPr>
      </w:pPr>
    </w:p>
    <w:p w:rsidR="00195C39" w:rsidRPr="00130C7A" w:rsidRDefault="00195C39" w:rsidP="00130C7A">
      <w:pPr>
        <w:jc w:val="center"/>
        <w:rPr>
          <w:lang w:val="fr-FR"/>
        </w:rPr>
      </w:pPr>
    </w:p>
    <w:p w:rsidR="00E77CB3" w:rsidRPr="00130C7A" w:rsidRDefault="00E77CB3" w:rsidP="00130C7A">
      <w:pPr>
        <w:jc w:val="center"/>
        <w:rPr>
          <w:b/>
          <w:lang w:val="fr-FR"/>
        </w:rPr>
      </w:pPr>
      <w:bookmarkStart w:id="0" w:name="To"/>
      <w:r w:rsidRPr="00130C7A">
        <w:rPr>
          <w:b/>
          <w:lang w:val="fr-FR"/>
        </w:rPr>
        <w:t xml:space="preserve">AFFAIRE </w:t>
      </w:r>
      <w:bookmarkEnd w:id="0"/>
      <w:r w:rsidR="00F71371" w:rsidRPr="00130C7A">
        <w:rPr>
          <w:b/>
          <w:lang w:val="fr-FR"/>
        </w:rPr>
        <w:t>FABRIS ET PARZIALE c. ITALIE</w:t>
      </w:r>
    </w:p>
    <w:p w:rsidR="00E77CB3" w:rsidRPr="00130C7A" w:rsidRDefault="00E77CB3" w:rsidP="00130C7A">
      <w:pPr>
        <w:jc w:val="center"/>
        <w:rPr>
          <w:lang w:val="fr-FR"/>
        </w:rPr>
      </w:pPr>
    </w:p>
    <w:p w:rsidR="00195C39" w:rsidRPr="00130C7A" w:rsidRDefault="00E77CB3" w:rsidP="00130C7A">
      <w:pPr>
        <w:jc w:val="center"/>
        <w:rPr>
          <w:szCs w:val="24"/>
          <w:lang w:val="fr-FR"/>
        </w:rPr>
      </w:pPr>
      <w:r w:rsidRPr="00130C7A">
        <w:rPr>
          <w:i/>
          <w:lang w:val="fr-FR"/>
        </w:rPr>
        <w:t>(</w:t>
      </w:r>
      <w:r w:rsidR="00F71371" w:rsidRPr="00130C7A">
        <w:rPr>
          <w:i/>
          <w:lang w:val="fr-FR"/>
        </w:rPr>
        <w:t>Requête n</w:t>
      </w:r>
      <w:r w:rsidR="00F71371" w:rsidRPr="00130C7A">
        <w:rPr>
          <w:i/>
          <w:vertAlign w:val="superscript"/>
          <w:lang w:val="fr-FR"/>
        </w:rPr>
        <w:t>o</w:t>
      </w:r>
      <w:r w:rsidR="00F71371" w:rsidRPr="00130C7A">
        <w:rPr>
          <w:i/>
          <w:lang w:val="fr-FR"/>
        </w:rPr>
        <w:t xml:space="preserve"> 41603/13</w:t>
      </w:r>
      <w:r w:rsidRPr="00130C7A">
        <w:rPr>
          <w:i/>
          <w:lang w:val="fr-FR"/>
        </w:rPr>
        <w:t>)</w:t>
      </w:r>
    </w:p>
    <w:p w:rsidR="00195C39" w:rsidRPr="00130C7A" w:rsidRDefault="00195C39" w:rsidP="00130C7A">
      <w:pPr>
        <w:jc w:val="center"/>
        <w:rPr>
          <w:szCs w:val="24"/>
          <w:u w:val="single"/>
          <w:lang w:val="fr-FR"/>
        </w:rPr>
      </w:pPr>
    </w:p>
    <w:p w:rsidR="00195C39" w:rsidRPr="00130C7A" w:rsidRDefault="00195C39" w:rsidP="00130C7A">
      <w:pPr>
        <w:jc w:val="center"/>
        <w:rPr>
          <w:szCs w:val="24"/>
          <w:u w:val="single"/>
          <w:lang w:val="fr-FR"/>
        </w:rPr>
      </w:pPr>
    </w:p>
    <w:p w:rsidR="00195C39" w:rsidRPr="00130C7A" w:rsidRDefault="00195C39" w:rsidP="00130C7A">
      <w:pPr>
        <w:jc w:val="center"/>
        <w:rPr>
          <w:szCs w:val="24"/>
          <w:lang w:val="fr-FR"/>
        </w:rPr>
      </w:pPr>
    </w:p>
    <w:p w:rsidR="00195C39" w:rsidRPr="00130C7A" w:rsidRDefault="00195C39" w:rsidP="00130C7A">
      <w:pPr>
        <w:jc w:val="center"/>
        <w:rPr>
          <w:szCs w:val="24"/>
          <w:lang w:val="fr-FR"/>
        </w:rPr>
      </w:pPr>
      <w:r w:rsidRPr="00130C7A">
        <w:rPr>
          <w:szCs w:val="24"/>
          <w:lang w:val="fr-FR"/>
        </w:rPr>
        <w:t>ARRÉT</w:t>
      </w:r>
    </w:p>
    <w:p w:rsidR="00195C39" w:rsidRPr="00130C7A" w:rsidRDefault="00195C39" w:rsidP="00130C7A">
      <w:pPr>
        <w:jc w:val="center"/>
        <w:rPr>
          <w:szCs w:val="24"/>
          <w:lang w:val="fr-FR"/>
        </w:rPr>
      </w:pPr>
    </w:p>
    <w:p w:rsidR="00130C7A" w:rsidRPr="00130C7A" w:rsidRDefault="00147D8D" w:rsidP="00130C7A">
      <w:pPr>
        <w:pBdr>
          <w:top w:val="single" w:sz="4" w:space="1" w:color="auto"/>
          <w:left w:val="single" w:sz="4" w:space="4" w:color="auto"/>
          <w:bottom w:val="single" w:sz="4" w:space="1" w:color="auto"/>
          <w:right w:val="single" w:sz="4" w:space="4" w:color="auto"/>
        </w:pBdr>
        <w:rPr>
          <w:rStyle w:val="apple-converted-space"/>
          <w:rFonts w:ascii="helvetica Neue" w:hAnsi="helvetica Neue" w:cs="Times New Roman" w:hint="eastAsia"/>
          <w:sz w:val="22"/>
          <w:lang w:val="fr-FR"/>
        </w:rPr>
      </w:pPr>
      <w:r w:rsidRPr="00130C7A">
        <w:rPr>
          <w:sz w:val="22"/>
          <w:lang w:val="fr-FR"/>
        </w:rPr>
        <w:t>Art 34 • Qualité de victime d</w:t>
      </w:r>
      <w:r w:rsidR="00130C7A" w:rsidRPr="00130C7A">
        <w:rPr>
          <w:sz w:val="22"/>
          <w:lang w:val="fr-FR"/>
        </w:rPr>
        <w:t>’</w:t>
      </w:r>
      <w:r w:rsidRPr="00130C7A">
        <w:rPr>
          <w:sz w:val="22"/>
          <w:lang w:val="fr-FR"/>
        </w:rPr>
        <w:t>une cousine d</w:t>
      </w:r>
      <w:r w:rsidR="00130C7A" w:rsidRPr="00130C7A">
        <w:rPr>
          <w:sz w:val="22"/>
          <w:lang w:val="fr-FR"/>
        </w:rPr>
        <w:t>’</w:t>
      </w:r>
      <w:r w:rsidRPr="00130C7A">
        <w:rPr>
          <w:sz w:val="22"/>
          <w:lang w:val="fr-FR"/>
        </w:rPr>
        <w:t>un détenu décédé non automatique</w:t>
      </w:r>
      <w:r w:rsidRPr="00130C7A">
        <w:rPr>
          <w:rFonts w:ascii="Times New Roman" w:hAnsi="Times New Roman"/>
          <w:sz w:val="22"/>
          <w:lang w:val="fr-FR"/>
        </w:rPr>
        <w:t xml:space="preserve"> • A</w:t>
      </w:r>
      <w:r w:rsidRPr="00130C7A">
        <w:rPr>
          <w:sz w:val="22"/>
          <w:lang w:val="fr-FR"/>
        </w:rPr>
        <w:t>bsence d</w:t>
      </w:r>
      <w:r w:rsidR="00130C7A" w:rsidRPr="00130C7A">
        <w:rPr>
          <w:sz w:val="22"/>
          <w:lang w:val="fr-FR"/>
        </w:rPr>
        <w:t>’</w:t>
      </w:r>
      <w:r w:rsidRPr="00130C7A">
        <w:rPr>
          <w:sz w:val="22"/>
          <w:lang w:val="fr-FR"/>
        </w:rPr>
        <w:t>intérêt légitime devant la Cour malgré la reconnaissance de partie lésée dans la procédure interne</w:t>
      </w:r>
      <w:r w:rsidRPr="00130C7A">
        <w:rPr>
          <w:rStyle w:val="apple-converted-space"/>
          <w:rFonts w:ascii="Times New Roman" w:hAnsi="Times New Roman" w:cs="Times New Roman"/>
          <w:sz w:val="22"/>
          <w:lang w:val="fr-FR"/>
        </w:rPr>
        <w:t xml:space="preserve"> </w:t>
      </w:r>
      <w:r w:rsidRPr="00130C7A">
        <w:rPr>
          <w:rFonts w:ascii="Times New Roman" w:hAnsi="Times New Roman"/>
          <w:sz w:val="22"/>
          <w:lang w:val="fr-FR"/>
        </w:rPr>
        <w:t>• Q</w:t>
      </w:r>
      <w:r w:rsidRPr="00130C7A">
        <w:rPr>
          <w:sz w:val="22"/>
          <w:lang w:val="fr-FR"/>
        </w:rPr>
        <w:t>ualité de victime d</w:t>
      </w:r>
      <w:r w:rsidR="00130C7A" w:rsidRPr="00130C7A">
        <w:rPr>
          <w:sz w:val="22"/>
          <w:lang w:val="fr-FR"/>
        </w:rPr>
        <w:t>’</w:t>
      </w:r>
      <w:r w:rsidRPr="00130C7A">
        <w:rPr>
          <w:sz w:val="22"/>
          <w:lang w:val="fr-FR"/>
        </w:rPr>
        <w:t>un oncle</w:t>
      </w:r>
    </w:p>
    <w:p w:rsidR="00130C7A" w:rsidRPr="00130C7A" w:rsidRDefault="00147D8D" w:rsidP="00130C7A">
      <w:pPr>
        <w:pBdr>
          <w:top w:val="single" w:sz="4" w:space="1" w:color="auto"/>
          <w:left w:val="single" w:sz="4" w:space="4" w:color="auto"/>
          <w:bottom w:val="single" w:sz="4" w:space="1" w:color="auto"/>
          <w:right w:val="single" w:sz="4" w:space="4" w:color="auto"/>
        </w:pBdr>
        <w:rPr>
          <w:rStyle w:val="apple-converted-space"/>
          <w:rFonts w:ascii="Times New Roman" w:hAnsi="Times New Roman" w:cs="Times New Roman"/>
          <w:sz w:val="22"/>
          <w:lang w:val="fr-FR"/>
        </w:rPr>
      </w:pPr>
      <w:r w:rsidRPr="00130C7A">
        <w:rPr>
          <w:rFonts w:ascii="Times New Roman" w:hAnsi="Times New Roman"/>
          <w:sz w:val="22"/>
          <w:lang w:val="fr-FR"/>
        </w:rPr>
        <w:t>Art 35 • Épuisement des voies de recours interne</w:t>
      </w:r>
      <w:r w:rsidRPr="00130C7A">
        <w:rPr>
          <w:rStyle w:val="apple-converted-space"/>
          <w:rFonts w:ascii="Times New Roman" w:hAnsi="Times New Roman" w:cs="Times New Roman"/>
          <w:sz w:val="22"/>
          <w:lang w:val="fr-FR"/>
        </w:rPr>
        <w:t xml:space="preserve"> </w:t>
      </w:r>
      <w:r w:rsidRPr="00130C7A">
        <w:rPr>
          <w:rFonts w:ascii="Times New Roman" w:hAnsi="Times New Roman"/>
          <w:sz w:val="22"/>
          <w:lang w:val="fr-FR"/>
        </w:rPr>
        <w:t>• Choix de la voie pénale par le requérant</w:t>
      </w:r>
      <w:r w:rsidRPr="00130C7A">
        <w:rPr>
          <w:rStyle w:val="apple-converted-space"/>
          <w:rFonts w:ascii="Times New Roman" w:hAnsi="Times New Roman" w:cs="Times New Roman"/>
          <w:sz w:val="22"/>
          <w:lang w:val="fr-FR"/>
        </w:rPr>
        <w:t xml:space="preserve"> </w:t>
      </w:r>
      <w:r w:rsidRPr="00130C7A">
        <w:rPr>
          <w:rFonts w:ascii="Times New Roman" w:hAnsi="Times New Roman"/>
          <w:sz w:val="22"/>
          <w:lang w:val="fr-FR"/>
        </w:rPr>
        <w:t>• Classement de l</w:t>
      </w:r>
      <w:r w:rsidR="00130C7A" w:rsidRPr="00130C7A">
        <w:rPr>
          <w:rFonts w:ascii="Times New Roman" w:hAnsi="Times New Roman"/>
          <w:sz w:val="22"/>
          <w:lang w:val="fr-FR"/>
        </w:rPr>
        <w:t>’</w:t>
      </w:r>
      <w:r w:rsidRPr="00130C7A">
        <w:rPr>
          <w:rFonts w:ascii="Times New Roman" w:hAnsi="Times New Roman"/>
          <w:sz w:val="22"/>
          <w:lang w:val="fr-FR"/>
        </w:rPr>
        <w:t>affaire pour prescription empêchant la constitution de partie civile ne valant pas renonciation à se prévaloir des droits de victime</w:t>
      </w:r>
      <w:r w:rsidRPr="00130C7A">
        <w:rPr>
          <w:rStyle w:val="apple-converted-space"/>
          <w:rFonts w:ascii="Times New Roman" w:hAnsi="Times New Roman" w:cs="Times New Roman"/>
          <w:sz w:val="22"/>
          <w:lang w:val="fr-FR"/>
        </w:rPr>
        <w:t xml:space="preserve"> </w:t>
      </w:r>
      <w:r w:rsidRPr="00130C7A">
        <w:rPr>
          <w:rFonts w:ascii="Times New Roman" w:hAnsi="Times New Roman"/>
          <w:sz w:val="22"/>
          <w:lang w:val="fr-FR"/>
        </w:rPr>
        <w:t>• Inaccessibilité du recours civil invoqué par le gouvernement</w:t>
      </w:r>
    </w:p>
    <w:p w:rsidR="00130C7A" w:rsidRPr="00130C7A" w:rsidRDefault="00147D8D" w:rsidP="00130C7A">
      <w:pPr>
        <w:pBdr>
          <w:top w:val="single" w:sz="4" w:space="1" w:color="auto"/>
          <w:left w:val="single" w:sz="4" w:space="4" w:color="auto"/>
          <w:bottom w:val="single" w:sz="4" w:space="1" w:color="auto"/>
          <w:right w:val="single" w:sz="4" w:space="4" w:color="auto"/>
        </w:pBdr>
        <w:rPr>
          <w:rStyle w:val="apple-converted-space"/>
          <w:rFonts w:ascii="Times New Roman" w:hAnsi="Times New Roman" w:cs="Times New Roman"/>
          <w:sz w:val="22"/>
          <w:lang w:val="fr-FR"/>
        </w:rPr>
      </w:pPr>
      <w:r w:rsidRPr="00130C7A">
        <w:rPr>
          <w:rFonts w:ascii="Times New Roman" w:hAnsi="Times New Roman"/>
          <w:sz w:val="22"/>
          <w:lang w:val="fr-FR"/>
        </w:rPr>
        <w:t>Art 2 (matériel) • Obligations positives • Décès en prison d</w:t>
      </w:r>
      <w:r w:rsidR="00130C7A" w:rsidRPr="00130C7A">
        <w:rPr>
          <w:rFonts w:ascii="Times New Roman" w:hAnsi="Times New Roman"/>
          <w:sz w:val="22"/>
          <w:lang w:val="fr-FR"/>
        </w:rPr>
        <w:t>’</w:t>
      </w:r>
      <w:r w:rsidRPr="00130C7A">
        <w:rPr>
          <w:rFonts w:ascii="Times New Roman" w:hAnsi="Times New Roman"/>
          <w:sz w:val="22"/>
          <w:lang w:val="fr-FR"/>
        </w:rPr>
        <w:t>un détenu toxicomane par inhalation volontaire du gaz fournis pour cuisiner • Utilisation détournée d</w:t>
      </w:r>
      <w:r w:rsidR="00130C7A" w:rsidRPr="00130C7A">
        <w:rPr>
          <w:rFonts w:ascii="Times New Roman" w:hAnsi="Times New Roman"/>
          <w:sz w:val="22"/>
          <w:lang w:val="fr-FR"/>
        </w:rPr>
        <w:t>’</w:t>
      </w:r>
      <w:r w:rsidRPr="00130C7A">
        <w:rPr>
          <w:rFonts w:ascii="Times New Roman" w:hAnsi="Times New Roman"/>
          <w:sz w:val="22"/>
          <w:lang w:val="fr-FR"/>
        </w:rPr>
        <w:t>une substance dangereuse possédée régulièrement • Addiction connue des autorités pénitentiaires et objet d</w:t>
      </w:r>
      <w:r w:rsidR="00130C7A" w:rsidRPr="00130C7A">
        <w:rPr>
          <w:rFonts w:ascii="Times New Roman" w:hAnsi="Times New Roman"/>
          <w:sz w:val="22"/>
          <w:lang w:val="fr-FR"/>
        </w:rPr>
        <w:t>’</w:t>
      </w:r>
      <w:r w:rsidRPr="00130C7A">
        <w:rPr>
          <w:rFonts w:ascii="Times New Roman" w:hAnsi="Times New Roman"/>
          <w:sz w:val="22"/>
          <w:lang w:val="fr-FR"/>
        </w:rPr>
        <w:t>un suivi médical constant</w:t>
      </w:r>
      <w:r w:rsidRPr="00130C7A">
        <w:rPr>
          <w:rStyle w:val="apple-converted-space"/>
          <w:rFonts w:ascii="Times New Roman" w:hAnsi="Times New Roman" w:cs="Times New Roman"/>
          <w:sz w:val="22"/>
          <w:lang w:val="fr-FR"/>
        </w:rPr>
        <w:t xml:space="preserve"> </w:t>
      </w:r>
      <w:r w:rsidRPr="00130C7A">
        <w:rPr>
          <w:rFonts w:ascii="Times New Roman" w:hAnsi="Times New Roman"/>
          <w:sz w:val="22"/>
          <w:lang w:val="fr-FR"/>
        </w:rPr>
        <w:t>• Intervention rapide des autorités lors d</w:t>
      </w:r>
      <w:r w:rsidR="00130C7A" w:rsidRPr="00130C7A">
        <w:rPr>
          <w:rFonts w:ascii="Times New Roman" w:hAnsi="Times New Roman"/>
          <w:sz w:val="22"/>
          <w:lang w:val="fr-FR"/>
        </w:rPr>
        <w:t>’</w:t>
      </w:r>
      <w:r w:rsidRPr="00130C7A">
        <w:rPr>
          <w:rFonts w:ascii="Times New Roman" w:hAnsi="Times New Roman"/>
          <w:sz w:val="22"/>
          <w:lang w:val="fr-FR"/>
        </w:rPr>
        <w:t>une précédente inhalation de gaz • Décision légitime de ne pas limiter l</w:t>
      </w:r>
      <w:r w:rsidR="00130C7A" w:rsidRPr="00130C7A">
        <w:rPr>
          <w:rFonts w:ascii="Times New Roman" w:hAnsi="Times New Roman"/>
          <w:sz w:val="22"/>
          <w:lang w:val="fr-FR"/>
        </w:rPr>
        <w:t>’</w:t>
      </w:r>
      <w:r w:rsidRPr="00130C7A">
        <w:rPr>
          <w:rFonts w:ascii="Times New Roman" w:hAnsi="Times New Roman"/>
          <w:sz w:val="22"/>
          <w:lang w:val="fr-FR"/>
        </w:rPr>
        <w:t>accès au gaz ou de ne pas renforcer la surveillance • Absence de risque immédiat de mise en péril de la vie ou de l</w:t>
      </w:r>
      <w:r w:rsidR="00130C7A" w:rsidRPr="00130C7A">
        <w:rPr>
          <w:rFonts w:ascii="Times New Roman" w:hAnsi="Times New Roman"/>
          <w:sz w:val="22"/>
          <w:lang w:val="fr-FR"/>
        </w:rPr>
        <w:t>’</w:t>
      </w:r>
      <w:r w:rsidRPr="00130C7A">
        <w:rPr>
          <w:rFonts w:ascii="Times New Roman" w:hAnsi="Times New Roman"/>
          <w:sz w:val="22"/>
          <w:lang w:val="fr-FR"/>
        </w:rPr>
        <w:t>intégrité physique du détenu</w:t>
      </w:r>
    </w:p>
    <w:p w:rsidR="00130C7A" w:rsidRPr="00130C7A" w:rsidRDefault="00147D8D" w:rsidP="00130C7A">
      <w:pPr>
        <w:pBdr>
          <w:top w:val="single" w:sz="4" w:space="1" w:color="auto"/>
          <w:left w:val="single" w:sz="4" w:space="4" w:color="auto"/>
          <w:bottom w:val="single" w:sz="4" w:space="1" w:color="auto"/>
          <w:right w:val="single" w:sz="4" w:space="4" w:color="auto"/>
        </w:pBdr>
        <w:rPr>
          <w:rStyle w:val="apple-converted-space"/>
          <w:rFonts w:ascii="Times New Roman" w:hAnsi="Times New Roman" w:cs="Times New Roman"/>
          <w:sz w:val="22"/>
          <w:lang w:val="fr-FR"/>
        </w:rPr>
      </w:pPr>
      <w:r w:rsidRPr="00130C7A">
        <w:rPr>
          <w:sz w:val="22"/>
          <w:lang w:val="fr-FR"/>
        </w:rPr>
        <w:t>Art 2 (procédural) • Enquête effective sur les circonstances du décès du détenu • Intervention immédiate des autorités • Conclusions erronées de la première autopsie sans impact sur l</w:t>
      </w:r>
      <w:r w:rsidR="00130C7A" w:rsidRPr="00130C7A">
        <w:rPr>
          <w:sz w:val="22"/>
          <w:lang w:val="fr-FR"/>
        </w:rPr>
        <w:t>’</w:t>
      </w:r>
      <w:r w:rsidRPr="00130C7A">
        <w:rPr>
          <w:sz w:val="22"/>
          <w:lang w:val="fr-FR"/>
        </w:rPr>
        <w:t>effectivité de l</w:t>
      </w:r>
      <w:r w:rsidR="00130C7A" w:rsidRPr="00130C7A">
        <w:rPr>
          <w:sz w:val="22"/>
          <w:lang w:val="fr-FR"/>
        </w:rPr>
        <w:t>’</w:t>
      </w:r>
      <w:r w:rsidRPr="00130C7A">
        <w:rPr>
          <w:sz w:val="22"/>
          <w:lang w:val="fr-FR"/>
        </w:rPr>
        <w:t>enquête • Ralentissement significatif de l</w:t>
      </w:r>
      <w:r w:rsidR="00130C7A" w:rsidRPr="00130C7A">
        <w:rPr>
          <w:sz w:val="22"/>
          <w:lang w:val="fr-FR"/>
        </w:rPr>
        <w:t>’</w:t>
      </w:r>
      <w:r w:rsidRPr="00130C7A">
        <w:rPr>
          <w:sz w:val="22"/>
          <w:lang w:val="fr-FR"/>
        </w:rPr>
        <w:t>enquête sans effet sur son effectivité dans son ensemble • Prescription des faits n</w:t>
      </w:r>
      <w:r w:rsidR="00130C7A" w:rsidRPr="00130C7A">
        <w:rPr>
          <w:sz w:val="22"/>
          <w:lang w:val="fr-FR"/>
        </w:rPr>
        <w:t>’</w:t>
      </w:r>
      <w:r w:rsidRPr="00130C7A">
        <w:rPr>
          <w:sz w:val="22"/>
          <w:lang w:val="fr-FR"/>
        </w:rPr>
        <w:t>ayant pas empêché l</w:t>
      </w:r>
      <w:r w:rsidR="00130C7A" w:rsidRPr="00130C7A">
        <w:rPr>
          <w:sz w:val="22"/>
          <w:lang w:val="fr-FR"/>
        </w:rPr>
        <w:t>’</w:t>
      </w:r>
      <w:r w:rsidRPr="00130C7A">
        <w:rPr>
          <w:sz w:val="22"/>
          <w:lang w:val="fr-FR"/>
        </w:rPr>
        <w:t>accomplissement d</w:t>
      </w:r>
      <w:r w:rsidR="00130C7A" w:rsidRPr="00130C7A">
        <w:rPr>
          <w:sz w:val="22"/>
          <w:lang w:val="fr-FR"/>
        </w:rPr>
        <w:t>’</w:t>
      </w:r>
      <w:r w:rsidRPr="00130C7A">
        <w:rPr>
          <w:sz w:val="22"/>
          <w:lang w:val="fr-FR"/>
        </w:rPr>
        <w:t>actes d</w:t>
      </w:r>
      <w:r w:rsidR="00130C7A" w:rsidRPr="00130C7A">
        <w:rPr>
          <w:sz w:val="22"/>
          <w:lang w:val="fr-FR"/>
        </w:rPr>
        <w:t>’</w:t>
      </w:r>
      <w:r w:rsidRPr="00130C7A">
        <w:rPr>
          <w:sz w:val="22"/>
          <w:lang w:val="fr-FR"/>
        </w:rPr>
        <w:t>investigation essentiels ou la possible condamnation des responsables</w:t>
      </w:r>
    </w:p>
    <w:p w:rsidR="00195C39" w:rsidRPr="00130C7A" w:rsidRDefault="00195C39" w:rsidP="00130C7A">
      <w:pPr>
        <w:jc w:val="center"/>
        <w:rPr>
          <w:szCs w:val="24"/>
          <w:lang w:val="fr-FR"/>
        </w:rPr>
      </w:pPr>
    </w:p>
    <w:p w:rsidR="00195C39" w:rsidRPr="00130C7A" w:rsidRDefault="00195C39" w:rsidP="00130C7A">
      <w:pPr>
        <w:jc w:val="center"/>
        <w:rPr>
          <w:szCs w:val="24"/>
          <w:lang w:val="fr-FR"/>
        </w:rPr>
      </w:pPr>
      <w:r w:rsidRPr="00130C7A">
        <w:rPr>
          <w:szCs w:val="24"/>
          <w:lang w:val="fr-FR"/>
        </w:rPr>
        <w:t>STRASBOURG</w:t>
      </w:r>
    </w:p>
    <w:p w:rsidR="00195C39" w:rsidRPr="00130C7A" w:rsidRDefault="00195C39" w:rsidP="00130C7A">
      <w:pPr>
        <w:jc w:val="center"/>
        <w:rPr>
          <w:szCs w:val="24"/>
          <w:lang w:val="fr-FR"/>
        </w:rPr>
      </w:pPr>
    </w:p>
    <w:p w:rsidR="00195C39" w:rsidRPr="00130C7A" w:rsidRDefault="00DA431F" w:rsidP="00130C7A">
      <w:pPr>
        <w:jc w:val="center"/>
        <w:rPr>
          <w:szCs w:val="24"/>
          <w:lang w:val="fr-FR"/>
        </w:rPr>
      </w:pPr>
      <w:r w:rsidRPr="00130C7A">
        <w:rPr>
          <w:szCs w:val="24"/>
          <w:lang w:val="fr-FR"/>
        </w:rPr>
        <w:t>1</w:t>
      </w:r>
      <w:r w:rsidR="002B2E59" w:rsidRPr="00130C7A">
        <w:rPr>
          <w:szCs w:val="24"/>
          <w:lang w:val="fr-FR"/>
        </w:rPr>
        <w:t>9</w:t>
      </w:r>
      <w:r w:rsidRPr="00130C7A">
        <w:rPr>
          <w:szCs w:val="24"/>
          <w:lang w:val="fr-FR"/>
        </w:rPr>
        <w:t xml:space="preserve"> mars 2020</w:t>
      </w:r>
    </w:p>
    <w:p w:rsidR="00195C39" w:rsidRPr="00130C7A" w:rsidRDefault="00195C39" w:rsidP="00130C7A">
      <w:pPr>
        <w:jc w:val="center"/>
        <w:rPr>
          <w:szCs w:val="24"/>
          <w:lang w:val="fr-FR"/>
        </w:rPr>
      </w:pPr>
    </w:p>
    <w:p w:rsidR="00195C39" w:rsidRPr="00130C7A" w:rsidRDefault="00195C39" w:rsidP="00130C7A">
      <w:pPr>
        <w:jc w:val="left"/>
        <w:rPr>
          <w:i/>
          <w:sz w:val="22"/>
          <w:lang w:val="fr-FR"/>
        </w:rPr>
        <w:sectPr w:rsidR="00195C39" w:rsidRPr="00130C7A" w:rsidSect="00195C39">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r w:rsidRPr="00130C7A">
        <w:rPr>
          <w:i/>
          <w:sz w:val="22"/>
          <w:lang w:val="fr-FR"/>
        </w:rPr>
        <w:t>Cet arrêt deviendra définitif dans les conditions définies à l</w:t>
      </w:r>
      <w:r w:rsidR="00130C7A" w:rsidRPr="00130C7A">
        <w:rPr>
          <w:i/>
          <w:sz w:val="22"/>
          <w:lang w:val="fr-FR"/>
        </w:rPr>
        <w:t>’</w:t>
      </w:r>
      <w:r w:rsidRPr="00130C7A">
        <w:rPr>
          <w:i/>
          <w:sz w:val="22"/>
          <w:lang w:val="fr-FR"/>
        </w:rPr>
        <w:t>article 44 § 2 de la Convention. Il peu</w:t>
      </w:r>
      <w:r w:rsidR="00DA431F" w:rsidRPr="00130C7A">
        <w:rPr>
          <w:i/>
          <w:sz w:val="22"/>
          <w:lang w:val="fr-FR"/>
        </w:rPr>
        <w:t>t subir des retouches de forme.</w:t>
      </w:r>
    </w:p>
    <w:p w:rsidR="00E77CB3" w:rsidRPr="00130C7A" w:rsidRDefault="00E77CB3" w:rsidP="00130C7A">
      <w:pPr>
        <w:pStyle w:val="JuCase"/>
        <w:rPr>
          <w:lang w:val="fr-FR"/>
        </w:rPr>
      </w:pPr>
      <w:r w:rsidRPr="00130C7A">
        <w:rPr>
          <w:lang w:val="fr-FR"/>
        </w:rPr>
        <w:lastRenderedPageBreak/>
        <w:t>En l</w:t>
      </w:r>
      <w:r w:rsidR="00130C7A" w:rsidRPr="00130C7A">
        <w:rPr>
          <w:lang w:val="fr-FR"/>
        </w:rPr>
        <w:t>’</w:t>
      </w:r>
      <w:r w:rsidRPr="00130C7A">
        <w:rPr>
          <w:lang w:val="fr-FR"/>
        </w:rPr>
        <w:t xml:space="preserve">affaire </w:t>
      </w:r>
      <w:proofErr w:type="spellStart"/>
      <w:r w:rsidR="00F71371" w:rsidRPr="00130C7A">
        <w:rPr>
          <w:lang w:val="fr-FR"/>
        </w:rPr>
        <w:t>Fabris</w:t>
      </w:r>
      <w:proofErr w:type="spellEnd"/>
      <w:r w:rsidR="00F71371" w:rsidRPr="00130C7A">
        <w:rPr>
          <w:lang w:val="fr-FR"/>
        </w:rPr>
        <w:t xml:space="preserve"> et </w:t>
      </w:r>
      <w:proofErr w:type="spellStart"/>
      <w:r w:rsidR="00F71371" w:rsidRPr="00130C7A">
        <w:rPr>
          <w:lang w:val="fr-FR"/>
        </w:rPr>
        <w:t>Parziale</w:t>
      </w:r>
      <w:proofErr w:type="spellEnd"/>
      <w:r w:rsidR="00F71371" w:rsidRPr="00130C7A">
        <w:rPr>
          <w:lang w:val="fr-FR"/>
        </w:rPr>
        <w:t xml:space="preserve"> c. Italie</w:t>
      </w:r>
      <w:r w:rsidRPr="00130C7A">
        <w:rPr>
          <w:lang w:val="fr-FR"/>
        </w:rPr>
        <w:t>,</w:t>
      </w:r>
    </w:p>
    <w:p w:rsidR="00E77CB3" w:rsidRPr="00130C7A" w:rsidRDefault="00E77CB3" w:rsidP="00130C7A">
      <w:pPr>
        <w:pStyle w:val="ECHRPara"/>
        <w:rPr>
          <w:lang w:val="fr-FR"/>
        </w:rPr>
      </w:pPr>
      <w:r w:rsidRPr="00130C7A">
        <w:rPr>
          <w:lang w:val="fr-FR"/>
        </w:rPr>
        <w:t>La Cour européenne des droits de l</w:t>
      </w:r>
      <w:r w:rsidR="00130C7A" w:rsidRPr="00130C7A">
        <w:rPr>
          <w:lang w:val="fr-FR"/>
        </w:rPr>
        <w:t>’</w:t>
      </w:r>
      <w:r w:rsidRPr="00130C7A">
        <w:rPr>
          <w:lang w:val="fr-FR"/>
        </w:rPr>
        <w:t>homme (</w:t>
      </w:r>
      <w:r w:rsidR="00F71371" w:rsidRPr="00130C7A">
        <w:rPr>
          <w:lang w:val="fr-FR"/>
        </w:rPr>
        <w:t>première section</w:t>
      </w:r>
      <w:r w:rsidRPr="00130C7A">
        <w:rPr>
          <w:lang w:val="fr-FR"/>
        </w:rPr>
        <w:t xml:space="preserve">), siégeant en </w:t>
      </w:r>
      <w:r w:rsidR="00F71371" w:rsidRPr="00130C7A">
        <w:rPr>
          <w:lang w:val="fr-FR"/>
        </w:rPr>
        <w:t>une chambre composée</w:t>
      </w:r>
      <w:r w:rsidRPr="00130C7A">
        <w:rPr>
          <w:lang w:val="fr-FR"/>
        </w:rPr>
        <w:t xml:space="preserve"> de :</w:t>
      </w:r>
    </w:p>
    <w:p w:rsidR="00E77CB3" w:rsidRPr="00130C7A" w:rsidRDefault="00DA431F" w:rsidP="00130C7A">
      <w:pPr>
        <w:pStyle w:val="ECHRDecisionBody"/>
        <w:rPr>
          <w:lang w:val="fr-FR"/>
        </w:rPr>
      </w:pPr>
      <w:r w:rsidRPr="00130C7A">
        <w:rPr>
          <w:lang w:val="fr-FR"/>
        </w:rPr>
        <w:tab/>
      </w:r>
      <w:proofErr w:type="spellStart"/>
      <w:r w:rsidRPr="00130C7A">
        <w:rPr>
          <w:lang w:val="fr-FR"/>
        </w:rPr>
        <w:t>Ksenija</w:t>
      </w:r>
      <w:proofErr w:type="spellEnd"/>
      <w:r w:rsidRPr="00130C7A">
        <w:rPr>
          <w:lang w:val="fr-FR"/>
        </w:rPr>
        <w:t xml:space="preserve"> </w:t>
      </w:r>
      <w:proofErr w:type="spellStart"/>
      <w:r w:rsidRPr="00130C7A">
        <w:rPr>
          <w:lang w:val="fr-FR"/>
        </w:rPr>
        <w:t>Turković</w:t>
      </w:r>
      <w:proofErr w:type="spellEnd"/>
      <w:r w:rsidRPr="00130C7A">
        <w:rPr>
          <w:lang w:val="fr-FR"/>
        </w:rPr>
        <w:t>,</w:t>
      </w:r>
      <w:r w:rsidRPr="00130C7A">
        <w:rPr>
          <w:i/>
          <w:lang w:val="fr-FR"/>
        </w:rPr>
        <w:t xml:space="preserve"> présidente,</w:t>
      </w:r>
      <w:r w:rsidRPr="00130C7A">
        <w:rPr>
          <w:i/>
          <w:lang w:val="fr-FR"/>
        </w:rPr>
        <w:br/>
      </w:r>
      <w:r w:rsidRPr="00130C7A">
        <w:rPr>
          <w:lang w:val="fr-FR"/>
        </w:rPr>
        <w:tab/>
        <w:t xml:space="preserve">Krzysztof </w:t>
      </w:r>
      <w:proofErr w:type="spellStart"/>
      <w:r w:rsidRPr="00130C7A">
        <w:rPr>
          <w:lang w:val="fr-FR"/>
        </w:rPr>
        <w:t>Wojtyczek</w:t>
      </w:r>
      <w:proofErr w:type="spellEnd"/>
      <w:r w:rsidRPr="00130C7A">
        <w:rPr>
          <w:lang w:val="fr-FR"/>
        </w:rPr>
        <w:t>,</w:t>
      </w:r>
      <w:r w:rsidRPr="00130C7A">
        <w:rPr>
          <w:i/>
          <w:lang w:val="fr-FR"/>
        </w:rPr>
        <w:br/>
      </w:r>
      <w:r w:rsidRPr="00130C7A">
        <w:rPr>
          <w:lang w:val="fr-FR"/>
        </w:rPr>
        <w:tab/>
      </w:r>
      <w:proofErr w:type="spellStart"/>
      <w:r w:rsidRPr="00130C7A">
        <w:rPr>
          <w:lang w:val="fr-FR"/>
        </w:rPr>
        <w:t>Aleš</w:t>
      </w:r>
      <w:proofErr w:type="spellEnd"/>
      <w:r w:rsidRPr="00130C7A">
        <w:rPr>
          <w:lang w:val="fr-FR"/>
        </w:rPr>
        <w:t xml:space="preserve"> </w:t>
      </w:r>
      <w:proofErr w:type="spellStart"/>
      <w:r w:rsidRPr="00130C7A">
        <w:rPr>
          <w:lang w:val="fr-FR"/>
        </w:rPr>
        <w:t>Pejchal</w:t>
      </w:r>
      <w:proofErr w:type="spellEnd"/>
      <w:r w:rsidRPr="00130C7A">
        <w:rPr>
          <w:lang w:val="fr-FR"/>
        </w:rPr>
        <w:t>,</w:t>
      </w:r>
      <w:r w:rsidRPr="00130C7A">
        <w:rPr>
          <w:i/>
          <w:lang w:val="fr-FR"/>
        </w:rPr>
        <w:br/>
      </w:r>
      <w:r w:rsidRPr="00130C7A">
        <w:rPr>
          <w:lang w:val="fr-FR"/>
        </w:rPr>
        <w:tab/>
      </w:r>
      <w:proofErr w:type="spellStart"/>
      <w:r w:rsidRPr="00130C7A">
        <w:rPr>
          <w:lang w:val="fr-FR"/>
        </w:rPr>
        <w:t>Pauliine</w:t>
      </w:r>
      <w:proofErr w:type="spellEnd"/>
      <w:r w:rsidRPr="00130C7A">
        <w:rPr>
          <w:lang w:val="fr-FR"/>
        </w:rPr>
        <w:t xml:space="preserve"> </w:t>
      </w:r>
      <w:proofErr w:type="spellStart"/>
      <w:r w:rsidRPr="00130C7A">
        <w:rPr>
          <w:lang w:val="fr-FR"/>
        </w:rPr>
        <w:t>Koskelo</w:t>
      </w:r>
      <w:proofErr w:type="spellEnd"/>
      <w:r w:rsidRPr="00130C7A">
        <w:rPr>
          <w:lang w:val="fr-FR"/>
        </w:rPr>
        <w:t>,</w:t>
      </w:r>
      <w:r w:rsidRPr="00130C7A">
        <w:rPr>
          <w:i/>
          <w:lang w:val="fr-FR"/>
        </w:rPr>
        <w:br/>
      </w:r>
      <w:r w:rsidRPr="00130C7A">
        <w:rPr>
          <w:lang w:val="fr-FR"/>
        </w:rPr>
        <w:tab/>
        <w:t xml:space="preserve">Tim </w:t>
      </w:r>
      <w:proofErr w:type="spellStart"/>
      <w:r w:rsidRPr="00130C7A">
        <w:rPr>
          <w:lang w:val="fr-FR"/>
        </w:rPr>
        <w:t>Eicke</w:t>
      </w:r>
      <w:proofErr w:type="spellEnd"/>
      <w:r w:rsidRPr="00130C7A">
        <w:rPr>
          <w:lang w:val="fr-FR"/>
        </w:rPr>
        <w:t>,</w:t>
      </w:r>
      <w:r w:rsidRPr="00130C7A">
        <w:rPr>
          <w:i/>
          <w:lang w:val="fr-FR"/>
        </w:rPr>
        <w:br/>
      </w:r>
      <w:r w:rsidRPr="00130C7A">
        <w:rPr>
          <w:lang w:val="fr-FR"/>
        </w:rPr>
        <w:tab/>
        <w:t xml:space="preserve">Jovan </w:t>
      </w:r>
      <w:proofErr w:type="spellStart"/>
      <w:r w:rsidRPr="00130C7A">
        <w:rPr>
          <w:lang w:val="fr-FR"/>
        </w:rPr>
        <w:t>Ilievski</w:t>
      </w:r>
      <w:proofErr w:type="spellEnd"/>
      <w:r w:rsidRPr="00130C7A">
        <w:rPr>
          <w:lang w:val="fr-FR"/>
        </w:rPr>
        <w:t>,</w:t>
      </w:r>
      <w:r w:rsidRPr="00130C7A">
        <w:rPr>
          <w:i/>
          <w:lang w:val="fr-FR"/>
        </w:rPr>
        <w:br/>
      </w:r>
      <w:r w:rsidRPr="00130C7A">
        <w:rPr>
          <w:lang w:val="fr-FR"/>
        </w:rPr>
        <w:tab/>
      </w:r>
      <w:proofErr w:type="spellStart"/>
      <w:r w:rsidRPr="00130C7A">
        <w:rPr>
          <w:lang w:val="fr-FR"/>
        </w:rPr>
        <w:t>Raffaele</w:t>
      </w:r>
      <w:proofErr w:type="spellEnd"/>
      <w:r w:rsidRPr="00130C7A">
        <w:rPr>
          <w:lang w:val="fr-FR"/>
        </w:rPr>
        <w:t xml:space="preserve"> Sabato,</w:t>
      </w:r>
      <w:r w:rsidRPr="00130C7A">
        <w:rPr>
          <w:i/>
          <w:lang w:val="fr-FR"/>
        </w:rPr>
        <w:t xml:space="preserve"> juges,</w:t>
      </w:r>
      <w:r w:rsidR="00E77CB3" w:rsidRPr="00130C7A">
        <w:rPr>
          <w:lang w:val="fr-FR"/>
        </w:rPr>
        <w:br/>
        <w:t xml:space="preserve">et de </w:t>
      </w:r>
      <w:r w:rsidR="00F71371" w:rsidRPr="00130C7A">
        <w:rPr>
          <w:lang w:val="fr-FR"/>
        </w:rPr>
        <w:t>Abel Campos</w:t>
      </w:r>
      <w:r w:rsidR="00E77CB3" w:rsidRPr="00130C7A">
        <w:rPr>
          <w:lang w:val="fr-FR"/>
        </w:rPr>
        <w:t xml:space="preserve">, </w:t>
      </w:r>
      <w:r w:rsidR="00F71371" w:rsidRPr="00130C7A">
        <w:rPr>
          <w:i/>
          <w:lang w:val="fr-FR"/>
        </w:rPr>
        <w:t>greffier</w:t>
      </w:r>
      <w:r w:rsidR="00F71371" w:rsidRPr="00130C7A">
        <w:rPr>
          <w:iCs/>
          <w:lang w:val="fr-FR"/>
        </w:rPr>
        <w:t xml:space="preserve"> </w:t>
      </w:r>
      <w:r w:rsidR="00F71371" w:rsidRPr="00130C7A">
        <w:rPr>
          <w:i/>
          <w:iCs/>
          <w:lang w:val="fr-FR"/>
        </w:rPr>
        <w:t>d</w:t>
      </w:r>
      <w:r w:rsidR="00F71371" w:rsidRPr="00130C7A">
        <w:rPr>
          <w:i/>
          <w:lang w:val="fr-FR"/>
        </w:rPr>
        <w:t>e section</w:t>
      </w:r>
      <w:r w:rsidR="00E77CB3" w:rsidRPr="00130C7A">
        <w:rPr>
          <w:lang w:val="fr-FR"/>
        </w:rPr>
        <w:t>,</w:t>
      </w:r>
    </w:p>
    <w:p w:rsidR="00E77CB3" w:rsidRPr="00130C7A" w:rsidRDefault="00E77CB3" w:rsidP="00130C7A">
      <w:pPr>
        <w:pStyle w:val="ECHRPara"/>
        <w:rPr>
          <w:lang w:val="fr-FR"/>
        </w:rPr>
      </w:pPr>
      <w:r w:rsidRPr="00130C7A">
        <w:rPr>
          <w:lang w:val="fr-FR"/>
        </w:rPr>
        <w:t xml:space="preserve">Après en avoir délibéré en chambre du conseil le </w:t>
      </w:r>
      <w:r w:rsidR="00DA431F" w:rsidRPr="00130C7A">
        <w:rPr>
          <w:lang w:val="fr-FR"/>
        </w:rPr>
        <w:t>11 février 2020</w:t>
      </w:r>
      <w:r w:rsidRPr="00130C7A">
        <w:rPr>
          <w:lang w:val="fr-FR"/>
        </w:rPr>
        <w:t>,</w:t>
      </w:r>
    </w:p>
    <w:p w:rsidR="00E77CB3" w:rsidRPr="00130C7A" w:rsidRDefault="00E77CB3" w:rsidP="00130C7A">
      <w:pPr>
        <w:pStyle w:val="ECHRPara"/>
        <w:rPr>
          <w:lang w:val="fr-FR"/>
        </w:rPr>
      </w:pPr>
      <w:r w:rsidRPr="00130C7A">
        <w:rPr>
          <w:lang w:val="fr-FR"/>
        </w:rPr>
        <w:t>Rend l</w:t>
      </w:r>
      <w:r w:rsidR="00130C7A" w:rsidRPr="00130C7A">
        <w:rPr>
          <w:lang w:val="fr-FR"/>
        </w:rPr>
        <w:t>’</w:t>
      </w:r>
      <w:r w:rsidRPr="00130C7A">
        <w:rPr>
          <w:lang w:val="fr-FR"/>
        </w:rPr>
        <w:t>arrêt que voici, adopté à cette date :</w:t>
      </w:r>
    </w:p>
    <w:p w:rsidR="00E77CB3" w:rsidRPr="00130C7A" w:rsidRDefault="00E77CB3" w:rsidP="00130C7A">
      <w:pPr>
        <w:pStyle w:val="ECHRTitle1"/>
        <w:rPr>
          <w:lang w:val="fr-FR"/>
        </w:rPr>
      </w:pPr>
      <w:r w:rsidRPr="00130C7A">
        <w:rPr>
          <w:lang w:val="fr-FR"/>
        </w:rPr>
        <w:t>PROCÉDURE</w:t>
      </w:r>
    </w:p>
    <w:p w:rsidR="00E77CB3" w:rsidRPr="00130C7A" w:rsidRDefault="00DE541A"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w:t>
      </w:r>
      <w:r w:rsidRPr="00130C7A">
        <w:rPr>
          <w:lang w:val="fr-FR"/>
        </w:rPr>
        <w:fldChar w:fldCharType="end"/>
      </w:r>
      <w:r w:rsidRPr="00130C7A">
        <w:rPr>
          <w:lang w:val="fr-FR"/>
        </w:rPr>
        <w:t>.  </w:t>
      </w:r>
      <w:r w:rsidR="00E77CB3" w:rsidRPr="00130C7A">
        <w:rPr>
          <w:lang w:val="fr-FR"/>
        </w:rPr>
        <w:t>À l</w:t>
      </w:r>
      <w:r w:rsidR="00130C7A" w:rsidRPr="00130C7A">
        <w:rPr>
          <w:lang w:val="fr-FR"/>
        </w:rPr>
        <w:t>’</w:t>
      </w:r>
      <w:r w:rsidR="00E77CB3" w:rsidRPr="00130C7A">
        <w:rPr>
          <w:lang w:val="fr-FR"/>
        </w:rPr>
        <w:t>origine de l</w:t>
      </w:r>
      <w:r w:rsidR="00130C7A" w:rsidRPr="00130C7A">
        <w:rPr>
          <w:lang w:val="fr-FR"/>
        </w:rPr>
        <w:t>’</w:t>
      </w:r>
      <w:r w:rsidR="00E77CB3" w:rsidRPr="00130C7A">
        <w:rPr>
          <w:lang w:val="fr-FR"/>
        </w:rPr>
        <w:t xml:space="preserve">affaire </w:t>
      </w:r>
      <w:r w:rsidR="00F71371" w:rsidRPr="00130C7A">
        <w:rPr>
          <w:lang w:val="fr-FR"/>
        </w:rPr>
        <w:t>se trouve une requête (n</w:t>
      </w:r>
      <w:r w:rsidR="00F71371" w:rsidRPr="00130C7A">
        <w:rPr>
          <w:vertAlign w:val="superscript"/>
          <w:lang w:val="fr-FR"/>
        </w:rPr>
        <w:t>o</w:t>
      </w:r>
      <w:r w:rsidR="00F71371" w:rsidRPr="00130C7A">
        <w:rPr>
          <w:lang w:val="fr-FR"/>
        </w:rPr>
        <w:t xml:space="preserve"> 41603/13) dirigée</w:t>
      </w:r>
      <w:r w:rsidR="00E77CB3" w:rsidRPr="00130C7A">
        <w:rPr>
          <w:lang w:val="fr-FR"/>
        </w:rPr>
        <w:t xml:space="preserve"> contre </w:t>
      </w:r>
      <w:r w:rsidR="00F71371" w:rsidRPr="00130C7A">
        <w:rPr>
          <w:lang w:val="fr-FR"/>
        </w:rPr>
        <w:t>la République italienne</w:t>
      </w:r>
      <w:r w:rsidR="00E77CB3" w:rsidRPr="00130C7A">
        <w:rPr>
          <w:lang w:val="fr-FR"/>
        </w:rPr>
        <w:t xml:space="preserve"> et dont </w:t>
      </w:r>
      <w:r w:rsidR="00930B20" w:rsidRPr="00130C7A">
        <w:rPr>
          <w:lang w:val="fr-FR"/>
        </w:rPr>
        <w:t>deux</w:t>
      </w:r>
      <w:r w:rsidR="00F71371" w:rsidRPr="00130C7A">
        <w:rPr>
          <w:lang w:val="fr-FR"/>
        </w:rPr>
        <w:t xml:space="preserve"> ressortissants de cet État</w:t>
      </w:r>
      <w:r w:rsidR="00861AAE" w:rsidRPr="00130C7A">
        <w:rPr>
          <w:lang w:val="fr-FR"/>
        </w:rPr>
        <w:t xml:space="preserve"> (« les requérants »)</w:t>
      </w:r>
      <w:r w:rsidR="00930B20" w:rsidRPr="00130C7A">
        <w:rPr>
          <w:lang w:val="fr-FR"/>
        </w:rPr>
        <w:t>,</w:t>
      </w:r>
      <w:r w:rsidR="00F71371" w:rsidRPr="00130C7A">
        <w:rPr>
          <w:lang w:val="fr-FR"/>
        </w:rPr>
        <w:t xml:space="preserve"> </w:t>
      </w:r>
      <w:r w:rsidR="00930B20" w:rsidRPr="00130C7A">
        <w:rPr>
          <w:lang w:val="fr-FR"/>
        </w:rPr>
        <w:t>M</w:t>
      </w:r>
      <w:r w:rsidR="00086737" w:rsidRPr="00130C7A">
        <w:rPr>
          <w:lang w:val="fr-FR"/>
        </w:rPr>
        <w:t>.</w:t>
      </w:r>
      <w:r w:rsidR="002B2E59" w:rsidRPr="00130C7A">
        <w:rPr>
          <w:lang w:val="fr-FR"/>
        </w:rPr>
        <w:t xml:space="preserve"> </w:t>
      </w:r>
      <w:r w:rsidR="003663BE" w:rsidRPr="00130C7A">
        <w:rPr>
          <w:lang w:val="fr-FR"/>
        </w:rPr>
        <w:t>Gian Paolo</w:t>
      </w:r>
      <w:r w:rsidR="00F71371" w:rsidRPr="00130C7A">
        <w:rPr>
          <w:lang w:val="fr-FR"/>
        </w:rPr>
        <w:t xml:space="preserve"> </w:t>
      </w:r>
      <w:proofErr w:type="spellStart"/>
      <w:r w:rsidR="00F71371" w:rsidRPr="00130C7A">
        <w:rPr>
          <w:lang w:val="fr-FR"/>
        </w:rPr>
        <w:t>Fabris</w:t>
      </w:r>
      <w:proofErr w:type="spellEnd"/>
      <w:r w:rsidR="00F71371" w:rsidRPr="00130C7A">
        <w:rPr>
          <w:lang w:val="fr-FR"/>
        </w:rPr>
        <w:t xml:space="preserve"> </w:t>
      </w:r>
      <w:r w:rsidR="00861AAE" w:rsidRPr="00130C7A">
        <w:rPr>
          <w:lang w:val="fr-FR"/>
        </w:rPr>
        <w:t xml:space="preserve">(« le requérant ») </w:t>
      </w:r>
      <w:r w:rsidR="00F71371" w:rsidRPr="00130C7A">
        <w:rPr>
          <w:lang w:val="fr-FR"/>
        </w:rPr>
        <w:t xml:space="preserve">et </w:t>
      </w:r>
      <w:r w:rsidR="00930B20" w:rsidRPr="00130C7A">
        <w:rPr>
          <w:lang w:val="fr-FR"/>
        </w:rPr>
        <w:t>M</w:t>
      </w:r>
      <w:r w:rsidR="00930B20" w:rsidRPr="00130C7A">
        <w:rPr>
          <w:vertAlign w:val="superscript"/>
          <w:lang w:val="fr-FR"/>
        </w:rPr>
        <w:t>me</w:t>
      </w:r>
      <w:r w:rsidR="00DA431F" w:rsidRPr="00130C7A">
        <w:rPr>
          <w:vertAlign w:val="superscript"/>
          <w:lang w:val="fr-FR"/>
        </w:rPr>
        <w:t> </w:t>
      </w:r>
      <w:r w:rsidR="003663BE" w:rsidRPr="00130C7A">
        <w:rPr>
          <w:lang w:val="fr-FR"/>
        </w:rPr>
        <w:t xml:space="preserve">Carmela </w:t>
      </w:r>
      <w:proofErr w:type="spellStart"/>
      <w:r w:rsidR="00930B20" w:rsidRPr="00130C7A">
        <w:rPr>
          <w:lang w:val="fr-FR"/>
        </w:rPr>
        <w:t>Parziale</w:t>
      </w:r>
      <w:proofErr w:type="spellEnd"/>
      <w:r w:rsidR="00F71371" w:rsidRPr="00130C7A">
        <w:rPr>
          <w:lang w:val="fr-FR"/>
        </w:rPr>
        <w:t xml:space="preserve"> (« l</w:t>
      </w:r>
      <w:r w:rsidR="00861AAE" w:rsidRPr="00130C7A">
        <w:rPr>
          <w:lang w:val="fr-FR"/>
        </w:rPr>
        <w:t xml:space="preserve">a </w:t>
      </w:r>
      <w:r w:rsidR="00F71371" w:rsidRPr="00130C7A">
        <w:rPr>
          <w:lang w:val="fr-FR"/>
        </w:rPr>
        <w:t>requérant</w:t>
      </w:r>
      <w:r w:rsidR="00861AAE" w:rsidRPr="00130C7A">
        <w:rPr>
          <w:lang w:val="fr-FR"/>
        </w:rPr>
        <w:t>e</w:t>
      </w:r>
      <w:r w:rsidR="00F71371" w:rsidRPr="00130C7A">
        <w:rPr>
          <w:lang w:val="fr-FR"/>
        </w:rPr>
        <w:t> »), ont saisi la Cour le 12</w:t>
      </w:r>
      <w:r w:rsidR="00DA431F" w:rsidRPr="00130C7A">
        <w:rPr>
          <w:lang w:val="fr-FR"/>
        </w:rPr>
        <w:t> </w:t>
      </w:r>
      <w:r w:rsidR="00F71371" w:rsidRPr="00130C7A">
        <w:rPr>
          <w:lang w:val="fr-FR"/>
        </w:rPr>
        <w:t>juin 2013</w:t>
      </w:r>
      <w:r w:rsidR="00E77CB3" w:rsidRPr="00130C7A">
        <w:rPr>
          <w:lang w:val="fr-FR"/>
        </w:rPr>
        <w:t xml:space="preserve"> en vertu de </w:t>
      </w:r>
      <w:r w:rsidR="00F71371" w:rsidRPr="00130C7A">
        <w:rPr>
          <w:lang w:val="fr-FR"/>
        </w:rPr>
        <w:t>l</w:t>
      </w:r>
      <w:r w:rsidR="00130C7A" w:rsidRPr="00130C7A">
        <w:rPr>
          <w:lang w:val="fr-FR"/>
        </w:rPr>
        <w:t>’</w:t>
      </w:r>
      <w:r w:rsidR="00F71371" w:rsidRPr="00130C7A">
        <w:rPr>
          <w:lang w:val="fr-FR"/>
        </w:rPr>
        <w:t>article 34</w:t>
      </w:r>
      <w:r w:rsidR="00E77CB3" w:rsidRPr="00130C7A">
        <w:rPr>
          <w:lang w:val="fr-FR"/>
        </w:rPr>
        <w:t xml:space="preserve"> de la Convention de sauvegarde des droits de l</w:t>
      </w:r>
      <w:r w:rsidR="00130C7A" w:rsidRPr="00130C7A">
        <w:rPr>
          <w:lang w:val="fr-FR"/>
        </w:rPr>
        <w:t>’</w:t>
      </w:r>
      <w:r w:rsidR="00E77CB3" w:rsidRPr="00130C7A">
        <w:rPr>
          <w:lang w:val="fr-FR"/>
        </w:rPr>
        <w:t>homme et des libertés fondamentales (« la Convention »).</w:t>
      </w:r>
    </w:p>
    <w:p w:rsidR="00F71371" w:rsidRPr="00130C7A" w:rsidRDefault="00F71371" w:rsidP="00130C7A">
      <w:pPr>
        <w:pStyle w:val="ECHRPara"/>
        <w:rPr>
          <w:lang w:val="fr-FR"/>
        </w:rPr>
      </w:pPr>
      <w:r w:rsidRPr="00130C7A">
        <w:rPr>
          <w:lang w:val="pt-BR"/>
        </w:rPr>
        <w:fldChar w:fldCharType="begin"/>
      </w:r>
      <w:r w:rsidRPr="00130C7A">
        <w:rPr>
          <w:lang w:val="fr-FR"/>
        </w:rPr>
        <w:instrText xml:space="preserve"> SEQ level0 \*arabic </w:instrText>
      </w:r>
      <w:r w:rsidRPr="00130C7A">
        <w:rPr>
          <w:lang w:val="pt-BR"/>
        </w:rPr>
        <w:fldChar w:fldCharType="separate"/>
      </w:r>
      <w:r w:rsidR="00130C7A" w:rsidRPr="00130C7A">
        <w:rPr>
          <w:noProof/>
          <w:lang w:val="fr-FR"/>
        </w:rPr>
        <w:t>2</w:t>
      </w:r>
      <w:r w:rsidRPr="00130C7A">
        <w:rPr>
          <w:lang w:val="pt-BR"/>
        </w:rPr>
        <w:fldChar w:fldCharType="end"/>
      </w:r>
      <w:r w:rsidR="00E77CB3" w:rsidRPr="00130C7A">
        <w:rPr>
          <w:lang w:val="fr-FR"/>
        </w:rPr>
        <w:t>.  </w:t>
      </w:r>
      <w:r w:rsidRPr="00130C7A">
        <w:rPr>
          <w:lang w:val="fr-FR"/>
        </w:rPr>
        <w:t>Le</w:t>
      </w:r>
      <w:r w:rsidR="00293AE2" w:rsidRPr="00130C7A">
        <w:rPr>
          <w:lang w:val="fr-FR"/>
        </w:rPr>
        <w:t xml:space="preserve"> </w:t>
      </w:r>
      <w:r w:rsidRPr="00130C7A">
        <w:rPr>
          <w:lang w:val="fr-FR"/>
        </w:rPr>
        <w:t xml:space="preserve">requérant </w:t>
      </w:r>
      <w:r w:rsidR="00293AE2" w:rsidRPr="00130C7A">
        <w:rPr>
          <w:lang w:val="fr-FR"/>
        </w:rPr>
        <w:t>a été représenté</w:t>
      </w:r>
      <w:r w:rsidRPr="00130C7A">
        <w:rPr>
          <w:lang w:val="fr-FR"/>
        </w:rPr>
        <w:t xml:space="preserve"> par </w:t>
      </w:r>
      <w:r w:rsidR="00293AE2" w:rsidRPr="00130C7A">
        <w:rPr>
          <w:lang w:val="fr-FR"/>
        </w:rPr>
        <w:t>M</w:t>
      </w:r>
      <w:r w:rsidR="00293AE2" w:rsidRPr="00130C7A">
        <w:rPr>
          <w:vertAlign w:val="superscript"/>
          <w:lang w:val="fr-FR"/>
        </w:rPr>
        <w:t>e</w:t>
      </w:r>
      <w:r w:rsidR="00293AE2" w:rsidRPr="00130C7A">
        <w:rPr>
          <w:lang w:val="fr-FR"/>
        </w:rPr>
        <w:t xml:space="preserve"> A. </w:t>
      </w:r>
      <w:proofErr w:type="spellStart"/>
      <w:r w:rsidR="00293AE2" w:rsidRPr="00130C7A">
        <w:rPr>
          <w:lang w:val="fr-FR"/>
        </w:rPr>
        <w:t>Gamberini</w:t>
      </w:r>
      <w:proofErr w:type="spellEnd"/>
      <w:r w:rsidR="00293AE2" w:rsidRPr="00130C7A">
        <w:rPr>
          <w:lang w:val="fr-FR"/>
        </w:rPr>
        <w:t xml:space="preserve">, avocat exerçant à Bologne, </w:t>
      </w:r>
      <w:r w:rsidR="00A822E6" w:rsidRPr="00130C7A">
        <w:rPr>
          <w:lang w:val="fr-FR"/>
        </w:rPr>
        <w:t xml:space="preserve">tandis que la </w:t>
      </w:r>
      <w:r w:rsidR="00293AE2" w:rsidRPr="00130C7A">
        <w:rPr>
          <w:lang w:val="fr-FR"/>
        </w:rPr>
        <w:t xml:space="preserve">requérante a été représentée par </w:t>
      </w:r>
      <w:r w:rsidRPr="00130C7A">
        <w:rPr>
          <w:lang w:val="fr-FR"/>
        </w:rPr>
        <w:t>M</w:t>
      </w:r>
      <w:r w:rsidRPr="00130C7A">
        <w:rPr>
          <w:vertAlign w:val="superscript"/>
          <w:lang w:val="fr-FR"/>
        </w:rPr>
        <w:t>e</w:t>
      </w:r>
      <w:r w:rsidRPr="00130C7A">
        <w:rPr>
          <w:lang w:val="fr-FR"/>
        </w:rPr>
        <w:t> A.</w:t>
      </w:r>
      <w:r w:rsidR="00FD0D90" w:rsidRPr="00130C7A">
        <w:rPr>
          <w:lang w:val="fr-FR"/>
        </w:rPr>
        <w:t> </w:t>
      </w:r>
      <w:proofErr w:type="spellStart"/>
      <w:r w:rsidRPr="00130C7A">
        <w:rPr>
          <w:lang w:val="fr-FR"/>
        </w:rPr>
        <w:t>Forza</w:t>
      </w:r>
      <w:proofErr w:type="spellEnd"/>
      <w:r w:rsidR="00293AE2" w:rsidRPr="00130C7A">
        <w:rPr>
          <w:lang w:val="fr-FR"/>
        </w:rPr>
        <w:t>, avocat exerçant à Venise</w:t>
      </w:r>
      <w:r w:rsidRPr="00130C7A">
        <w:rPr>
          <w:lang w:val="fr-FR"/>
        </w:rPr>
        <w:t>.</w:t>
      </w:r>
      <w:r w:rsidR="006F22B7" w:rsidRPr="00130C7A">
        <w:rPr>
          <w:lang w:val="fr-FR"/>
        </w:rPr>
        <w:t xml:space="preserve"> </w:t>
      </w:r>
      <w:r w:rsidR="00E77CB3" w:rsidRPr="00130C7A">
        <w:rPr>
          <w:lang w:val="fr-FR"/>
        </w:rPr>
        <w:t xml:space="preserve">Le gouvernement </w:t>
      </w:r>
      <w:r w:rsidRPr="00130C7A">
        <w:rPr>
          <w:lang w:val="fr-FR"/>
        </w:rPr>
        <w:t>italien</w:t>
      </w:r>
      <w:r w:rsidR="00E77CB3" w:rsidRPr="00130C7A">
        <w:rPr>
          <w:lang w:val="fr-FR"/>
        </w:rPr>
        <w:t xml:space="preserve"> (« le Gouvernement ») a été représenté par son </w:t>
      </w:r>
      <w:r w:rsidR="00246F9E" w:rsidRPr="00130C7A">
        <w:rPr>
          <w:lang w:val="fr-FR"/>
        </w:rPr>
        <w:t xml:space="preserve">ancien </w:t>
      </w:r>
      <w:r w:rsidR="00E77CB3" w:rsidRPr="00130C7A">
        <w:rPr>
          <w:lang w:val="fr-FR"/>
        </w:rPr>
        <w:t xml:space="preserve">agent, </w:t>
      </w:r>
      <w:r w:rsidR="00930B20" w:rsidRPr="00130C7A">
        <w:rPr>
          <w:lang w:val="fr-FR"/>
        </w:rPr>
        <w:t>M</w:t>
      </w:r>
      <w:r w:rsidR="00930B20" w:rsidRPr="00130C7A">
        <w:rPr>
          <w:vertAlign w:val="superscript"/>
          <w:lang w:val="fr-FR"/>
        </w:rPr>
        <w:t>me</w:t>
      </w:r>
      <w:r w:rsidR="00D845E6" w:rsidRPr="00130C7A">
        <w:rPr>
          <w:lang w:val="fr-FR"/>
        </w:rPr>
        <w:t> </w:t>
      </w:r>
      <w:r w:rsidR="00930B20" w:rsidRPr="00130C7A">
        <w:rPr>
          <w:lang w:val="fr-FR"/>
        </w:rPr>
        <w:t>E. </w:t>
      </w:r>
      <w:proofErr w:type="spellStart"/>
      <w:r w:rsidR="00930B20" w:rsidRPr="00130C7A">
        <w:rPr>
          <w:lang w:val="fr-FR"/>
        </w:rPr>
        <w:t>Spatafora</w:t>
      </w:r>
      <w:proofErr w:type="spellEnd"/>
      <w:r w:rsidR="00E77CB3" w:rsidRPr="00130C7A">
        <w:rPr>
          <w:lang w:val="fr-FR"/>
        </w:rPr>
        <w:t xml:space="preserve">, </w:t>
      </w:r>
      <w:r w:rsidR="00930B20" w:rsidRPr="00130C7A">
        <w:rPr>
          <w:lang w:val="fr-FR"/>
        </w:rPr>
        <w:t xml:space="preserve">et par son </w:t>
      </w:r>
      <w:r w:rsidR="00FD0D90" w:rsidRPr="00130C7A">
        <w:rPr>
          <w:lang w:val="fr-FR"/>
        </w:rPr>
        <w:t xml:space="preserve">ancien </w:t>
      </w:r>
      <w:proofErr w:type="spellStart"/>
      <w:r w:rsidR="00127BEE" w:rsidRPr="00130C7A">
        <w:rPr>
          <w:lang w:val="fr-FR"/>
        </w:rPr>
        <w:t>coagent</w:t>
      </w:r>
      <w:proofErr w:type="spellEnd"/>
      <w:r w:rsidR="00930B20" w:rsidRPr="00130C7A">
        <w:rPr>
          <w:lang w:val="fr-FR"/>
        </w:rPr>
        <w:t>, M</w:t>
      </w:r>
      <w:r w:rsidR="00930B20" w:rsidRPr="00130C7A">
        <w:rPr>
          <w:vertAlign w:val="superscript"/>
          <w:lang w:val="fr-FR"/>
        </w:rPr>
        <w:t>me</w:t>
      </w:r>
      <w:r w:rsidR="00930B20" w:rsidRPr="00130C7A">
        <w:rPr>
          <w:lang w:val="fr-FR"/>
        </w:rPr>
        <w:t xml:space="preserve"> G. </w:t>
      </w:r>
      <w:proofErr w:type="spellStart"/>
      <w:r w:rsidR="00930B20" w:rsidRPr="00130C7A">
        <w:rPr>
          <w:lang w:val="fr-FR"/>
        </w:rPr>
        <w:t>Civinini</w:t>
      </w:r>
      <w:proofErr w:type="spellEnd"/>
      <w:r w:rsidR="007C5300" w:rsidRPr="00130C7A">
        <w:rPr>
          <w:lang w:val="fr-FR"/>
        </w:rPr>
        <w:t>.</w:t>
      </w:r>
    </w:p>
    <w:p w:rsidR="00E77CB3" w:rsidRPr="00130C7A" w:rsidRDefault="00F71371"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w:t>
      </w:r>
      <w:r w:rsidRPr="00130C7A">
        <w:rPr>
          <w:lang w:val="fr-FR"/>
        </w:rPr>
        <w:fldChar w:fldCharType="end"/>
      </w:r>
      <w:r w:rsidRPr="00130C7A">
        <w:rPr>
          <w:lang w:val="fr-FR"/>
        </w:rPr>
        <w:t xml:space="preserve">.  Les requérants </w:t>
      </w:r>
      <w:r w:rsidR="00A10E81" w:rsidRPr="00130C7A">
        <w:rPr>
          <w:lang w:val="fr-FR"/>
        </w:rPr>
        <w:t>dénonçaient</w:t>
      </w:r>
      <w:r w:rsidR="004C5572" w:rsidRPr="00130C7A">
        <w:rPr>
          <w:lang w:val="fr-FR"/>
        </w:rPr>
        <w:t xml:space="preserve"> un manquement des autorités à leur</w:t>
      </w:r>
      <w:r w:rsidR="00614CD0" w:rsidRPr="00130C7A">
        <w:rPr>
          <w:lang w:val="fr-FR"/>
        </w:rPr>
        <w:t>s</w:t>
      </w:r>
      <w:r w:rsidR="004C5572" w:rsidRPr="00130C7A">
        <w:rPr>
          <w:lang w:val="fr-FR"/>
        </w:rPr>
        <w:t xml:space="preserve"> obligation</w:t>
      </w:r>
      <w:r w:rsidR="00614CD0" w:rsidRPr="00130C7A">
        <w:rPr>
          <w:lang w:val="fr-FR"/>
        </w:rPr>
        <w:t>s</w:t>
      </w:r>
      <w:r w:rsidR="004C5572" w:rsidRPr="00130C7A">
        <w:rPr>
          <w:lang w:val="fr-FR"/>
        </w:rPr>
        <w:t xml:space="preserve"> de protéger la vie de leur </w:t>
      </w:r>
      <w:r w:rsidR="00861AAE" w:rsidRPr="00130C7A">
        <w:rPr>
          <w:lang w:val="fr-FR"/>
        </w:rPr>
        <w:t>proche</w:t>
      </w:r>
      <w:r w:rsidR="00614CD0" w:rsidRPr="00130C7A">
        <w:rPr>
          <w:lang w:val="fr-FR"/>
        </w:rPr>
        <w:t xml:space="preserve"> et de mener une enquête effective</w:t>
      </w:r>
      <w:r w:rsidR="00861AAE" w:rsidRPr="00130C7A">
        <w:rPr>
          <w:lang w:val="fr-FR"/>
        </w:rPr>
        <w:t xml:space="preserve"> à cet égard</w:t>
      </w:r>
      <w:r w:rsidR="004C5572" w:rsidRPr="00130C7A">
        <w:rPr>
          <w:lang w:val="fr-FR"/>
        </w:rPr>
        <w:t>.</w:t>
      </w:r>
    </w:p>
    <w:p w:rsidR="00E77CB3" w:rsidRPr="00130C7A" w:rsidRDefault="00F71371" w:rsidP="00130C7A">
      <w:pPr>
        <w:pStyle w:val="ECHRPara"/>
        <w:rPr>
          <w:szCs w:val="24"/>
          <w:lang w:val="fr-FR" w:eastAsia="en-GB"/>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w:t>
      </w:r>
      <w:r w:rsidRPr="00130C7A">
        <w:rPr>
          <w:lang w:val="fr-FR"/>
        </w:rPr>
        <w:fldChar w:fldCharType="end"/>
      </w:r>
      <w:r w:rsidR="00E77CB3" w:rsidRPr="00130C7A">
        <w:rPr>
          <w:lang w:val="fr-FR"/>
        </w:rPr>
        <w:t>.  </w:t>
      </w:r>
      <w:r w:rsidRPr="00130C7A">
        <w:rPr>
          <w:lang w:val="fr-FR"/>
        </w:rPr>
        <w:t xml:space="preserve">Le </w:t>
      </w:r>
      <w:r w:rsidRPr="00130C7A">
        <w:rPr>
          <w:szCs w:val="24"/>
          <w:lang w:val="fr-FR"/>
        </w:rPr>
        <w:t>23 mai 2017</w:t>
      </w:r>
      <w:r w:rsidR="00E77CB3" w:rsidRPr="00130C7A">
        <w:rPr>
          <w:lang w:val="fr-FR"/>
        </w:rPr>
        <w:t xml:space="preserve">, </w:t>
      </w:r>
      <w:r w:rsidRPr="00130C7A">
        <w:rPr>
          <w:lang w:val="fr-FR"/>
        </w:rPr>
        <w:t>la requête a été communiquée au Gouvernement</w:t>
      </w:r>
      <w:r w:rsidR="00646454" w:rsidRPr="00130C7A">
        <w:rPr>
          <w:lang w:val="fr-FR"/>
        </w:rPr>
        <w:t>.</w:t>
      </w:r>
    </w:p>
    <w:p w:rsidR="00E77CB3" w:rsidRPr="00130C7A" w:rsidRDefault="00E77CB3" w:rsidP="00130C7A">
      <w:pPr>
        <w:pStyle w:val="ECHRTitle1"/>
        <w:tabs>
          <w:tab w:val="left" w:pos="5387"/>
        </w:tabs>
        <w:rPr>
          <w:lang w:val="fr-FR"/>
        </w:rPr>
      </w:pPr>
      <w:r w:rsidRPr="00130C7A">
        <w:rPr>
          <w:lang w:val="fr-FR"/>
        </w:rPr>
        <w:t>EN FAIT</w:t>
      </w:r>
    </w:p>
    <w:p w:rsidR="00E77CB3" w:rsidRPr="00130C7A" w:rsidRDefault="00E77CB3" w:rsidP="00130C7A">
      <w:pPr>
        <w:pStyle w:val="ECHRHeading1"/>
        <w:rPr>
          <w:lang w:val="fr-FR"/>
        </w:rPr>
      </w:pPr>
      <w:r w:rsidRPr="00130C7A">
        <w:rPr>
          <w:lang w:val="fr-FR"/>
        </w:rPr>
        <w:t>I.  LES CIRCONSTANCES DE L</w:t>
      </w:r>
      <w:r w:rsidR="00130C7A" w:rsidRPr="00130C7A">
        <w:rPr>
          <w:lang w:val="fr-FR"/>
        </w:rPr>
        <w:t>’</w:t>
      </w:r>
      <w:r w:rsidRPr="00130C7A">
        <w:rPr>
          <w:lang w:val="fr-FR"/>
        </w:rPr>
        <w:t>ESPÈCE</w:t>
      </w:r>
    </w:p>
    <w:p w:rsidR="00A41025" w:rsidRPr="00130C7A" w:rsidRDefault="00F71371"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5</w:t>
      </w:r>
      <w:r w:rsidRPr="00130C7A">
        <w:rPr>
          <w:lang w:val="fr-FR"/>
        </w:rPr>
        <w:fldChar w:fldCharType="end"/>
      </w:r>
      <w:r w:rsidR="00E77CB3" w:rsidRPr="00130C7A">
        <w:rPr>
          <w:lang w:val="fr-FR"/>
        </w:rPr>
        <w:t>.  </w:t>
      </w:r>
      <w:r w:rsidRPr="00130C7A">
        <w:rPr>
          <w:lang w:val="fr-FR"/>
        </w:rPr>
        <w:t xml:space="preserve">Les requérants sont nés respectivement en 1940 et </w:t>
      </w:r>
      <w:r w:rsidR="00861AAE" w:rsidRPr="00130C7A">
        <w:rPr>
          <w:lang w:val="fr-FR"/>
        </w:rPr>
        <w:t xml:space="preserve">en </w:t>
      </w:r>
      <w:r w:rsidR="00E92D33" w:rsidRPr="00130C7A">
        <w:rPr>
          <w:lang w:val="fr-FR"/>
        </w:rPr>
        <w:t>1963</w:t>
      </w:r>
      <w:r w:rsidRPr="00130C7A">
        <w:rPr>
          <w:lang w:val="fr-FR"/>
        </w:rPr>
        <w:t xml:space="preserve"> et résident à </w:t>
      </w:r>
      <w:proofErr w:type="spellStart"/>
      <w:r w:rsidRPr="00130C7A">
        <w:rPr>
          <w:lang w:val="fr-FR"/>
        </w:rPr>
        <w:t>Abano</w:t>
      </w:r>
      <w:proofErr w:type="spellEnd"/>
      <w:r w:rsidRPr="00130C7A">
        <w:rPr>
          <w:lang w:val="fr-FR"/>
        </w:rPr>
        <w:t xml:space="preserve"> Terme</w:t>
      </w:r>
      <w:r w:rsidR="00E77CB3" w:rsidRPr="00130C7A">
        <w:rPr>
          <w:lang w:val="fr-FR"/>
        </w:rPr>
        <w:t>.</w:t>
      </w:r>
      <w:r w:rsidR="007C46FB" w:rsidRPr="00130C7A">
        <w:rPr>
          <w:lang w:val="fr-FR"/>
        </w:rPr>
        <w:t xml:space="preserve"> Ils</w:t>
      </w:r>
      <w:r w:rsidR="00B06FD8" w:rsidRPr="00130C7A">
        <w:rPr>
          <w:lang w:val="fr-FR"/>
        </w:rPr>
        <w:t xml:space="preserve"> sont respecti</w:t>
      </w:r>
      <w:r w:rsidR="00A10E81" w:rsidRPr="00130C7A">
        <w:rPr>
          <w:lang w:val="fr-FR"/>
        </w:rPr>
        <w:t xml:space="preserve">vement un </w:t>
      </w:r>
      <w:r w:rsidR="007C46FB" w:rsidRPr="00130C7A">
        <w:rPr>
          <w:lang w:val="fr-FR"/>
        </w:rPr>
        <w:t xml:space="preserve">oncle </w:t>
      </w:r>
      <w:r w:rsidR="0004474E" w:rsidRPr="00130C7A">
        <w:rPr>
          <w:lang w:val="fr-FR"/>
        </w:rPr>
        <w:t xml:space="preserve">paternel </w:t>
      </w:r>
      <w:r w:rsidR="007C46FB" w:rsidRPr="00130C7A">
        <w:rPr>
          <w:lang w:val="fr-FR"/>
        </w:rPr>
        <w:t xml:space="preserve">et </w:t>
      </w:r>
      <w:r w:rsidR="0004474E" w:rsidRPr="00130C7A">
        <w:rPr>
          <w:lang w:val="fr-FR"/>
        </w:rPr>
        <w:t>une</w:t>
      </w:r>
      <w:r w:rsidR="007C46FB" w:rsidRPr="00130C7A">
        <w:rPr>
          <w:lang w:val="fr-FR"/>
        </w:rPr>
        <w:t xml:space="preserve"> cousine </w:t>
      </w:r>
      <w:r w:rsidR="0060201B" w:rsidRPr="00130C7A">
        <w:rPr>
          <w:lang w:val="fr-FR"/>
        </w:rPr>
        <w:t xml:space="preserve">du côté </w:t>
      </w:r>
      <w:r w:rsidR="0004474E" w:rsidRPr="00130C7A">
        <w:rPr>
          <w:lang w:val="fr-FR"/>
        </w:rPr>
        <w:t xml:space="preserve">maternel </w:t>
      </w:r>
      <w:r w:rsidR="007C46FB" w:rsidRPr="00130C7A">
        <w:rPr>
          <w:lang w:val="fr-FR"/>
        </w:rPr>
        <w:t>d</w:t>
      </w:r>
      <w:r w:rsidR="00861AAE" w:rsidRPr="00130C7A">
        <w:rPr>
          <w:lang w:val="fr-FR"/>
        </w:rPr>
        <w:t xml:space="preserve">e </w:t>
      </w:r>
      <w:r w:rsidR="00B06FD8" w:rsidRPr="00130C7A">
        <w:rPr>
          <w:lang w:val="fr-FR"/>
        </w:rPr>
        <w:t>A.</w:t>
      </w:r>
      <w:r w:rsidR="00310C87" w:rsidRPr="00130C7A">
        <w:rPr>
          <w:lang w:val="fr-FR"/>
        </w:rPr>
        <w:t>, né en 1971</w:t>
      </w:r>
      <w:r w:rsidR="00A41025" w:rsidRPr="00130C7A">
        <w:rPr>
          <w:lang w:val="fr-FR"/>
        </w:rPr>
        <w:t xml:space="preserve"> et décédé le 30 mai 2005 au cours de sa détention</w:t>
      </w:r>
      <w:r w:rsidR="00ED289F" w:rsidRPr="00130C7A">
        <w:rPr>
          <w:lang w:val="fr-FR"/>
        </w:rPr>
        <w:t xml:space="preserve"> </w:t>
      </w:r>
      <w:r w:rsidR="00BC6A7A" w:rsidRPr="00130C7A">
        <w:rPr>
          <w:lang w:val="fr-FR"/>
        </w:rPr>
        <w:t>à</w:t>
      </w:r>
      <w:r w:rsidR="00ED289F" w:rsidRPr="00130C7A">
        <w:rPr>
          <w:lang w:val="fr-FR"/>
        </w:rPr>
        <w:t xml:space="preserve"> la prison de Venise</w:t>
      </w:r>
      <w:r w:rsidR="00310C87" w:rsidRPr="00130C7A">
        <w:rPr>
          <w:lang w:val="fr-FR"/>
        </w:rPr>
        <w:t>.</w:t>
      </w:r>
    </w:p>
    <w:p w:rsidR="00317362" w:rsidRPr="00130C7A" w:rsidRDefault="0004474E" w:rsidP="00130C7A">
      <w:pPr>
        <w:pStyle w:val="ECHRPara"/>
        <w:rPr>
          <w:lang w:val="fr-FR"/>
        </w:rPr>
      </w:pPr>
      <w:r w:rsidRPr="00130C7A">
        <w:rPr>
          <w:lang w:val="fr-FR"/>
        </w:rPr>
        <w:lastRenderedPageBreak/>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w:t>
      </w:r>
      <w:r w:rsidRPr="00130C7A">
        <w:rPr>
          <w:lang w:val="fr-FR"/>
        </w:rPr>
        <w:fldChar w:fldCharType="end"/>
      </w:r>
      <w:r w:rsidRPr="00130C7A">
        <w:rPr>
          <w:lang w:val="fr-FR"/>
        </w:rPr>
        <w:t>.  </w:t>
      </w:r>
      <w:r w:rsidR="00D02084" w:rsidRPr="00130C7A">
        <w:rPr>
          <w:lang w:val="fr-FR"/>
        </w:rPr>
        <w:t>A. faisait usage de drogues et abusait d</w:t>
      </w:r>
      <w:r w:rsidR="00BC6A7A" w:rsidRPr="00130C7A">
        <w:rPr>
          <w:lang w:val="fr-FR"/>
        </w:rPr>
        <w:t>e l</w:t>
      </w:r>
      <w:r w:rsidR="00130C7A" w:rsidRPr="00130C7A">
        <w:rPr>
          <w:lang w:val="fr-FR"/>
        </w:rPr>
        <w:t>’</w:t>
      </w:r>
      <w:r w:rsidR="00D02084" w:rsidRPr="00130C7A">
        <w:rPr>
          <w:lang w:val="fr-FR"/>
        </w:rPr>
        <w:t>alcool depuis l</w:t>
      </w:r>
      <w:r w:rsidR="00130C7A" w:rsidRPr="00130C7A">
        <w:rPr>
          <w:lang w:val="fr-FR"/>
        </w:rPr>
        <w:t>’</w:t>
      </w:r>
      <w:r w:rsidR="00D02084" w:rsidRPr="00130C7A">
        <w:rPr>
          <w:lang w:val="fr-FR"/>
        </w:rPr>
        <w:t>âge de seize ans.</w:t>
      </w:r>
      <w:r w:rsidR="00A639FC" w:rsidRPr="00130C7A">
        <w:rPr>
          <w:lang w:val="fr-FR"/>
        </w:rPr>
        <w:t xml:space="preserve"> Il fut </w:t>
      </w:r>
      <w:r w:rsidR="00926B8A" w:rsidRPr="00130C7A">
        <w:rPr>
          <w:lang w:val="fr-FR"/>
        </w:rPr>
        <w:t>incarcéré</w:t>
      </w:r>
      <w:r w:rsidR="00A639FC" w:rsidRPr="00130C7A">
        <w:rPr>
          <w:lang w:val="fr-FR"/>
        </w:rPr>
        <w:t xml:space="preserve"> à cinq reprises entre 1996 et 200</w:t>
      </w:r>
      <w:r w:rsidR="007001A5" w:rsidRPr="00130C7A">
        <w:rPr>
          <w:lang w:val="fr-FR"/>
        </w:rPr>
        <w:t>5</w:t>
      </w:r>
      <w:r w:rsidR="00A639FC" w:rsidRPr="00130C7A">
        <w:rPr>
          <w:lang w:val="fr-FR"/>
        </w:rPr>
        <w:t xml:space="preserve">. Lors de </w:t>
      </w:r>
      <w:r w:rsidR="00926B8A" w:rsidRPr="00130C7A">
        <w:rPr>
          <w:lang w:val="fr-FR"/>
        </w:rPr>
        <w:t xml:space="preserve">son </w:t>
      </w:r>
      <w:r w:rsidR="00A639FC" w:rsidRPr="00130C7A">
        <w:rPr>
          <w:lang w:val="fr-FR"/>
        </w:rPr>
        <w:t>derni</w:t>
      </w:r>
      <w:r w:rsidR="00926B8A" w:rsidRPr="00130C7A">
        <w:rPr>
          <w:lang w:val="fr-FR"/>
        </w:rPr>
        <w:t>er placement en détention</w:t>
      </w:r>
      <w:r w:rsidR="00A639FC" w:rsidRPr="00130C7A">
        <w:rPr>
          <w:lang w:val="fr-FR"/>
        </w:rPr>
        <w:t xml:space="preserve">, le 29 avril 2004, il était atteint </w:t>
      </w:r>
      <w:r w:rsidR="00D41C2B" w:rsidRPr="00130C7A">
        <w:rPr>
          <w:lang w:val="fr-FR"/>
        </w:rPr>
        <w:t xml:space="preserve">de </w:t>
      </w:r>
      <w:r w:rsidR="00B56476" w:rsidRPr="00130C7A">
        <w:rPr>
          <w:lang w:val="fr-FR"/>
        </w:rPr>
        <w:t>pathologies</w:t>
      </w:r>
      <w:r w:rsidR="00D41C2B" w:rsidRPr="00130C7A">
        <w:rPr>
          <w:lang w:val="fr-FR"/>
        </w:rPr>
        <w:t xml:space="preserve"> lié</w:t>
      </w:r>
      <w:r w:rsidR="00B56476" w:rsidRPr="00130C7A">
        <w:rPr>
          <w:lang w:val="fr-FR"/>
        </w:rPr>
        <w:t>e</w:t>
      </w:r>
      <w:r w:rsidR="00D41C2B" w:rsidRPr="00130C7A">
        <w:rPr>
          <w:lang w:val="fr-FR"/>
        </w:rPr>
        <w:t xml:space="preserve">s à sa toxicomanie chronique, notamment </w:t>
      </w:r>
      <w:r w:rsidR="005E77F1" w:rsidRPr="00130C7A">
        <w:rPr>
          <w:lang w:val="fr-FR"/>
        </w:rPr>
        <w:t>d</w:t>
      </w:r>
      <w:r w:rsidR="00130C7A" w:rsidRPr="00130C7A">
        <w:rPr>
          <w:lang w:val="fr-FR"/>
        </w:rPr>
        <w:t>’</w:t>
      </w:r>
      <w:r w:rsidR="005945AB" w:rsidRPr="00130C7A">
        <w:rPr>
          <w:lang w:val="fr-FR"/>
        </w:rPr>
        <w:t>une</w:t>
      </w:r>
      <w:r w:rsidR="005E77F1" w:rsidRPr="00130C7A">
        <w:rPr>
          <w:lang w:val="fr-FR"/>
        </w:rPr>
        <w:t xml:space="preserve"> cirrhose, </w:t>
      </w:r>
      <w:r w:rsidR="00A639FC" w:rsidRPr="00130C7A">
        <w:rPr>
          <w:lang w:val="fr-FR"/>
        </w:rPr>
        <w:t>d</w:t>
      </w:r>
      <w:r w:rsidR="00130C7A" w:rsidRPr="00130C7A">
        <w:rPr>
          <w:lang w:val="fr-FR"/>
        </w:rPr>
        <w:t>’</w:t>
      </w:r>
      <w:r w:rsidR="00454FE5" w:rsidRPr="00130C7A">
        <w:rPr>
          <w:lang w:val="fr-FR"/>
        </w:rPr>
        <w:t xml:space="preserve">une </w:t>
      </w:r>
      <w:r w:rsidR="00A639FC" w:rsidRPr="00130C7A">
        <w:rPr>
          <w:lang w:val="fr-FR"/>
        </w:rPr>
        <w:t>hépatite C</w:t>
      </w:r>
      <w:r w:rsidR="005E77F1" w:rsidRPr="00130C7A">
        <w:rPr>
          <w:lang w:val="fr-FR"/>
        </w:rPr>
        <w:t xml:space="preserve"> et d</w:t>
      </w:r>
      <w:r w:rsidR="00130C7A" w:rsidRPr="00130C7A">
        <w:rPr>
          <w:lang w:val="fr-FR"/>
        </w:rPr>
        <w:t>’</w:t>
      </w:r>
      <w:r w:rsidR="00454FE5" w:rsidRPr="00130C7A">
        <w:rPr>
          <w:lang w:val="fr-FR"/>
        </w:rPr>
        <w:t xml:space="preserve">une </w:t>
      </w:r>
      <w:r w:rsidR="005E77F1" w:rsidRPr="00130C7A">
        <w:rPr>
          <w:lang w:val="fr-FR"/>
        </w:rPr>
        <w:t>encéphalopathie</w:t>
      </w:r>
      <w:r w:rsidR="00DF5C5A" w:rsidRPr="00130C7A">
        <w:rPr>
          <w:lang w:val="fr-FR"/>
        </w:rPr>
        <w:t xml:space="preserve">. En prison, il suivait une thérapie </w:t>
      </w:r>
      <w:r w:rsidR="00CE4627" w:rsidRPr="00130C7A">
        <w:rPr>
          <w:lang w:val="fr-FR"/>
        </w:rPr>
        <w:t>psychologique</w:t>
      </w:r>
      <w:r w:rsidR="00A639FC" w:rsidRPr="00130C7A">
        <w:rPr>
          <w:lang w:val="fr-FR"/>
        </w:rPr>
        <w:t xml:space="preserve"> et </w:t>
      </w:r>
      <w:r w:rsidR="00CE4627" w:rsidRPr="00130C7A">
        <w:rPr>
          <w:lang w:val="fr-FR"/>
        </w:rPr>
        <w:t xml:space="preserve">était soumis à </w:t>
      </w:r>
      <w:r w:rsidR="00A639FC" w:rsidRPr="00130C7A">
        <w:rPr>
          <w:lang w:val="fr-FR"/>
        </w:rPr>
        <w:t>un protocole pharmacologique de désintoxication</w:t>
      </w:r>
      <w:r w:rsidR="005E77F1" w:rsidRPr="00130C7A">
        <w:rPr>
          <w:lang w:val="fr-FR"/>
        </w:rPr>
        <w:t>.</w:t>
      </w:r>
      <w:r w:rsidR="003859FC" w:rsidRPr="00130C7A">
        <w:rPr>
          <w:lang w:val="fr-FR"/>
        </w:rPr>
        <w:t xml:space="preserve"> </w:t>
      </w:r>
      <w:r w:rsidR="00317362" w:rsidRPr="00130C7A">
        <w:rPr>
          <w:lang w:val="fr-FR"/>
        </w:rPr>
        <w:t xml:space="preserve">En outre, il était soigné pour </w:t>
      </w:r>
      <w:r w:rsidR="00454FE5" w:rsidRPr="00130C7A">
        <w:rPr>
          <w:lang w:val="fr-FR"/>
        </w:rPr>
        <w:t>s</w:t>
      </w:r>
      <w:r w:rsidR="00317362" w:rsidRPr="00130C7A">
        <w:rPr>
          <w:lang w:val="fr-FR"/>
        </w:rPr>
        <w:t>es pathologies hépatiques.</w:t>
      </w:r>
    </w:p>
    <w:p w:rsidR="001E0028" w:rsidRPr="00130C7A" w:rsidRDefault="00A639FC"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w:t>
      </w:r>
      <w:r w:rsidRPr="00130C7A">
        <w:rPr>
          <w:lang w:val="fr-FR"/>
        </w:rPr>
        <w:fldChar w:fldCharType="end"/>
      </w:r>
      <w:r w:rsidRPr="00130C7A">
        <w:rPr>
          <w:lang w:val="fr-FR"/>
        </w:rPr>
        <w:t>.  </w:t>
      </w:r>
      <w:r w:rsidR="00DE10FA" w:rsidRPr="00130C7A">
        <w:rPr>
          <w:lang w:val="fr-FR"/>
        </w:rPr>
        <w:t>Le</w:t>
      </w:r>
      <w:r w:rsidR="00167F05" w:rsidRPr="00130C7A">
        <w:rPr>
          <w:lang w:val="fr-FR"/>
        </w:rPr>
        <w:t xml:space="preserve"> </w:t>
      </w:r>
      <w:r w:rsidRPr="00130C7A">
        <w:rPr>
          <w:lang w:val="fr-FR"/>
        </w:rPr>
        <w:t xml:space="preserve">dossier médical </w:t>
      </w:r>
      <w:r w:rsidR="00E675D7" w:rsidRPr="00130C7A">
        <w:rPr>
          <w:lang w:val="fr-FR"/>
        </w:rPr>
        <w:t xml:space="preserve">de la prison </w:t>
      </w:r>
      <w:r w:rsidR="00DE10FA" w:rsidRPr="00130C7A">
        <w:rPr>
          <w:lang w:val="fr-FR"/>
        </w:rPr>
        <w:t>décri</w:t>
      </w:r>
      <w:r w:rsidR="00454FE5" w:rsidRPr="00130C7A">
        <w:rPr>
          <w:lang w:val="fr-FR"/>
        </w:rPr>
        <w:t>vait</w:t>
      </w:r>
      <w:r w:rsidR="00DE10FA" w:rsidRPr="00130C7A">
        <w:rPr>
          <w:lang w:val="fr-FR"/>
        </w:rPr>
        <w:t xml:space="preserve"> A. comme</w:t>
      </w:r>
      <w:r w:rsidR="0007721E" w:rsidRPr="00130C7A">
        <w:rPr>
          <w:lang w:val="fr-FR"/>
        </w:rPr>
        <w:t xml:space="preserve"> « un individu ayant </w:t>
      </w:r>
      <w:r w:rsidR="00AB1503" w:rsidRPr="00130C7A">
        <w:rPr>
          <w:lang w:val="fr-FR"/>
        </w:rPr>
        <w:t>l</w:t>
      </w:r>
      <w:r w:rsidR="00130C7A" w:rsidRPr="00130C7A">
        <w:rPr>
          <w:lang w:val="fr-FR"/>
        </w:rPr>
        <w:t>’</w:t>
      </w:r>
      <w:r w:rsidR="00AB1503" w:rsidRPr="00130C7A">
        <w:rPr>
          <w:lang w:val="fr-FR"/>
        </w:rPr>
        <w:t>attitude</w:t>
      </w:r>
      <w:r w:rsidR="0007721E" w:rsidRPr="00130C7A">
        <w:rPr>
          <w:lang w:val="fr-FR"/>
        </w:rPr>
        <w:t xml:space="preserve"> mentale</w:t>
      </w:r>
      <w:r w:rsidR="00E53846" w:rsidRPr="00130C7A">
        <w:rPr>
          <w:lang w:val="fr-FR"/>
        </w:rPr>
        <w:t xml:space="preserve"> typique</w:t>
      </w:r>
      <w:r w:rsidR="0007721E" w:rsidRPr="00130C7A">
        <w:rPr>
          <w:lang w:val="fr-FR"/>
        </w:rPr>
        <w:t xml:space="preserve"> d</w:t>
      </w:r>
      <w:r w:rsidR="00130C7A" w:rsidRPr="00130C7A">
        <w:rPr>
          <w:lang w:val="fr-FR"/>
        </w:rPr>
        <w:t>’</w:t>
      </w:r>
      <w:r w:rsidR="0007721E" w:rsidRPr="00130C7A">
        <w:rPr>
          <w:lang w:val="fr-FR"/>
        </w:rPr>
        <w:t>un</w:t>
      </w:r>
      <w:r w:rsidR="00C73158" w:rsidRPr="00130C7A">
        <w:rPr>
          <w:lang w:val="fr-FR"/>
        </w:rPr>
        <w:t xml:space="preserve"> toxicomane qui cherche, dès qu</w:t>
      </w:r>
      <w:r w:rsidR="00130C7A" w:rsidRPr="00130C7A">
        <w:rPr>
          <w:lang w:val="fr-FR"/>
        </w:rPr>
        <w:t>’</w:t>
      </w:r>
      <w:r w:rsidR="00C73158" w:rsidRPr="00130C7A">
        <w:rPr>
          <w:lang w:val="fr-FR"/>
        </w:rPr>
        <w:t xml:space="preserve">il en a la possibilité, </w:t>
      </w:r>
      <w:r w:rsidR="00454FE5" w:rsidRPr="00130C7A">
        <w:rPr>
          <w:lang w:val="fr-FR"/>
        </w:rPr>
        <w:t>à</w:t>
      </w:r>
      <w:r w:rsidR="00C73158" w:rsidRPr="00130C7A">
        <w:rPr>
          <w:lang w:val="fr-FR"/>
        </w:rPr>
        <w:t xml:space="preserve"> faire usage de substances </w:t>
      </w:r>
      <w:r w:rsidR="00D779FC" w:rsidRPr="00130C7A">
        <w:rPr>
          <w:lang w:val="fr-FR"/>
        </w:rPr>
        <w:t>lui permetta</w:t>
      </w:r>
      <w:r w:rsidR="003E420C" w:rsidRPr="00130C7A">
        <w:rPr>
          <w:lang w:val="fr-FR"/>
        </w:rPr>
        <w:t>nt d</w:t>
      </w:r>
      <w:r w:rsidR="00130C7A" w:rsidRPr="00130C7A">
        <w:rPr>
          <w:lang w:val="fr-FR"/>
        </w:rPr>
        <w:t>’</w:t>
      </w:r>
      <w:r w:rsidR="003E420C" w:rsidRPr="00130C7A">
        <w:rPr>
          <w:lang w:val="fr-FR"/>
        </w:rPr>
        <w:t>atte</w:t>
      </w:r>
      <w:r w:rsidR="00716CCD" w:rsidRPr="00130C7A">
        <w:rPr>
          <w:lang w:val="fr-FR"/>
        </w:rPr>
        <w:t>indre un état second</w:t>
      </w:r>
      <w:r w:rsidR="00841DFF" w:rsidRPr="00130C7A">
        <w:rPr>
          <w:lang w:val="fr-FR"/>
        </w:rPr>
        <w:t> </w:t>
      </w:r>
      <w:r w:rsidR="00716CCD" w:rsidRPr="00130C7A">
        <w:rPr>
          <w:lang w:val="fr-FR"/>
        </w:rPr>
        <w:t>»</w:t>
      </w:r>
      <w:r w:rsidR="00A06A82" w:rsidRPr="00130C7A">
        <w:rPr>
          <w:lang w:val="fr-FR"/>
        </w:rPr>
        <w:t xml:space="preserve"> sans </w:t>
      </w:r>
      <w:r w:rsidR="00462F74" w:rsidRPr="00130C7A">
        <w:rPr>
          <w:lang w:val="fr-FR"/>
        </w:rPr>
        <w:t>pourtant</w:t>
      </w:r>
      <w:r w:rsidR="00A06A82" w:rsidRPr="00130C7A">
        <w:rPr>
          <w:lang w:val="fr-FR"/>
        </w:rPr>
        <w:t xml:space="preserve"> manifester </w:t>
      </w:r>
      <w:r w:rsidR="00C24C00" w:rsidRPr="00130C7A">
        <w:rPr>
          <w:lang w:val="fr-FR"/>
        </w:rPr>
        <w:t>de tendances suicidaires</w:t>
      </w:r>
      <w:r w:rsidR="00E675D7" w:rsidRPr="00130C7A">
        <w:rPr>
          <w:lang w:val="fr-FR"/>
        </w:rPr>
        <w:t>.</w:t>
      </w:r>
    </w:p>
    <w:p w:rsidR="001E0028" w:rsidRPr="00130C7A" w:rsidRDefault="0021657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8</w:t>
      </w:r>
      <w:r w:rsidRPr="00130C7A">
        <w:rPr>
          <w:lang w:val="fr-FR"/>
        </w:rPr>
        <w:fldChar w:fldCharType="end"/>
      </w:r>
      <w:r w:rsidRPr="00130C7A">
        <w:rPr>
          <w:lang w:val="fr-FR"/>
        </w:rPr>
        <w:t>.  </w:t>
      </w:r>
      <w:r w:rsidR="00693EC3" w:rsidRPr="00130C7A">
        <w:rPr>
          <w:lang w:val="fr-FR"/>
        </w:rPr>
        <w:t>Le 11</w:t>
      </w:r>
      <w:r w:rsidR="00EC5049" w:rsidRPr="00130C7A">
        <w:rPr>
          <w:lang w:val="fr-FR"/>
        </w:rPr>
        <w:t xml:space="preserve"> mars 2005</w:t>
      </w:r>
      <w:r w:rsidR="001C1923" w:rsidRPr="00130C7A">
        <w:rPr>
          <w:lang w:val="fr-FR"/>
        </w:rPr>
        <w:t>,</w:t>
      </w:r>
      <w:r w:rsidR="00E675D7" w:rsidRPr="00130C7A">
        <w:rPr>
          <w:lang w:val="fr-FR"/>
        </w:rPr>
        <w:t xml:space="preserve"> </w:t>
      </w:r>
      <w:r w:rsidR="00454FE5" w:rsidRPr="00130C7A">
        <w:rPr>
          <w:lang w:val="fr-FR"/>
        </w:rPr>
        <w:t>A.</w:t>
      </w:r>
      <w:r w:rsidR="00E675D7" w:rsidRPr="00130C7A">
        <w:rPr>
          <w:lang w:val="fr-FR"/>
        </w:rPr>
        <w:t xml:space="preserve"> </w:t>
      </w:r>
      <w:r w:rsidR="00DB0034" w:rsidRPr="00130C7A">
        <w:rPr>
          <w:lang w:val="fr-FR"/>
        </w:rPr>
        <w:t>fut</w:t>
      </w:r>
      <w:r w:rsidR="00E675D7" w:rsidRPr="00130C7A">
        <w:rPr>
          <w:lang w:val="fr-FR"/>
        </w:rPr>
        <w:t xml:space="preserve"> soigné </w:t>
      </w:r>
      <w:r w:rsidR="00E53846" w:rsidRPr="00130C7A">
        <w:rPr>
          <w:lang w:val="fr-FR"/>
        </w:rPr>
        <w:t>en état d</w:t>
      </w:r>
      <w:r w:rsidR="00130C7A" w:rsidRPr="00130C7A">
        <w:rPr>
          <w:lang w:val="fr-FR"/>
        </w:rPr>
        <w:t>’</w:t>
      </w:r>
      <w:r w:rsidR="00E53846" w:rsidRPr="00130C7A">
        <w:rPr>
          <w:lang w:val="fr-FR"/>
        </w:rPr>
        <w:t xml:space="preserve">ébriété </w:t>
      </w:r>
      <w:r w:rsidR="00E675D7" w:rsidRPr="00130C7A">
        <w:rPr>
          <w:lang w:val="fr-FR"/>
        </w:rPr>
        <w:t xml:space="preserve">après avoir </w:t>
      </w:r>
      <w:r w:rsidR="00EC5049" w:rsidRPr="00130C7A">
        <w:rPr>
          <w:lang w:val="fr-FR"/>
        </w:rPr>
        <w:t xml:space="preserve">ingéré </w:t>
      </w:r>
      <w:r w:rsidR="003D5709" w:rsidRPr="00130C7A">
        <w:rPr>
          <w:lang w:val="fr-FR"/>
        </w:rPr>
        <w:t xml:space="preserve">de </w:t>
      </w:r>
      <w:r w:rsidR="00EC5049" w:rsidRPr="00130C7A">
        <w:rPr>
          <w:lang w:val="fr-FR"/>
        </w:rPr>
        <w:t>l</w:t>
      </w:r>
      <w:r w:rsidR="00130C7A" w:rsidRPr="00130C7A">
        <w:rPr>
          <w:lang w:val="fr-FR"/>
        </w:rPr>
        <w:t>’</w:t>
      </w:r>
      <w:r w:rsidR="00EC5049" w:rsidRPr="00130C7A">
        <w:rPr>
          <w:lang w:val="fr-FR"/>
        </w:rPr>
        <w:t>alcool</w:t>
      </w:r>
      <w:r w:rsidR="00DB0034" w:rsidRPr="00130C7A">
        <w:rPr>
          <w:lang w:val="fr-FR"/>
        </w:rPr>
        <w:t xml:space="preserve"> dénaturé</w:t>
      </w:r>
      <w:r w:rsidR="00E675D7" w:rsidRPr="00130C7A">
        <w:rPr>
          <w:lang w:val="fr-FR"/>
        </w:rPr>
        <w:t xml:space="preserve"> </w:t>
      </w:r>
      <w:r w:rsidR="005011CC" w:rsidRPr="00130C7A">
        <w:rPr>
          <w:lang w:val="fr-FR"/>
        </w:rPr>
        <w:t>utilisé</w:t>
      </w:r>
      <w:r w:rsidR="00E675D7" w:rsidRPr="00130C7A">
        <w:rPr>
          <w:lang w:val="fr-FR"/>
        </w:rPr>
        <w:t xml:space="preserve"> pour nettoyer </w:t>
      </w:r>
      <w:r w:rsidR="003D5709" w:rsidRPr="00130C7A">
        <w:rPr>
          <w:lang w:val="fr-FR"/>
        </w:rPr>
        <w:t>d</w:t>
      </w:r>
      <w:r w:rsidR="00161D6F" w:rsidRPr="00130C7A">
        <w:rPr>
          <w:lang w:val="fr-FR"/>
        </w:rPr>
        <w:t>es plaies</w:t>
      </w:r>
      <w:r w:rsidR="00525CFA" w:rsidRPr="00130C7A">
        <w:rPr>
          <w:lang w:val="fr-FR"/>
        </w:rPr>
        <w:t xml:space="preserve"> </w:t>
      </w:r>
      <w:r w:rsidR="00801522" w:rsidRPr="00130C7A">
        <w:rPr>
          <w:lang w:val="fr-FR"/>
        </w:rPr>
        <w:t xml:space="preserve">au bras </w:t>
      </w:r>
      <w:r w:rsidR="005945AB" w:rsidRPr="00130C7A">
        <w:rPr>
          <w:lang w:val="fr-FR"/>
        </w:rPr>
        <w:t>qu</w:t>
      </w:r>
      <w:r w:rsidR="00801522" w:rsidRPr="00130C7A">
        <w:rPr>
          <w:lang w:val="fr-FR"/>
        </w:rPr>
        <w:t>i lui avaient été occasionnées</w:t>
      </w:r>
      <w:r w:rsidR="005945AB" w:rsidRPr="00130C7A">
        <w:rPr>
          <w:lang w:val="fr-FR"/>
        </w:rPr>
        <w:t xml:space="preserve"> lors d</w:t>
      </w:r>
      <w:r w:rsidR="00130C7A" w:rsidRPr="00130C7A">
        <w:rPr>
          <w:lang w:val="fr-FR"/>
        </w:rPr>
        <w:t>’</w:t>
      </w:r>
      <w:r w:rsidR="00525CFA" w:rsidRPr="00130C7A">
        <w:rPr>
          <w:lang w:val="fr-FR"/>
        </w:rPr>
        <w:t>un accident</w:t>
      </w:r>
      <w:r w:rsidR="00161D6F" w:rsidRPr="00130C7A">
        <w:rPr>
          <w:lang w:val="fr-FR"/>
        </w:rPr>
        <w:t>.</w:t>
      </w:r>
      <w:r w:rsidR="006E52A1" w:rsidRPr="00130C7A">
        <w:rPr>
          <w:lang w:val="fr-FR"/>
        </w:rPr>
        <w:t xml:space="preserve"> </w:t>
      </w:r>
      <w:r w:rsidR="000D7CE1" w:rsidRPr="00130C7A">
        <w:rPr>
          <w:lang w:val="fr-FR"/>
        </w:rPr>
        <w:t>L</w:t>
      </w:r>
      <w:r w:rsidR="00693EC3" w:rsidRPr="00130C7A">
        <w:rPr>
          <w:lang w:val="fr-FR"/>
        </w:rPr>
        <w:t>e 18 mars 2005, les</w:t>
      </w:r>
      <w:r w:rsidR="006E52A1" w:rsidRPr="00130C7A">
        <w:rPr>
          <w:lang w:val="fr-FR"/>
        </w:rPr>
        <w:t xml:space="preserve"> agents</w:t>
      </w:r>
      <w:r w:rsidR="003D5709" w:rsidRPr="00130C7A">
        <w:rPr>
          <w:lang w:val="fr-FR"/>
        </w:rPr>
        <w:t xml:space="preserve"> pénitentiaires</w:t>
      </w:r>
      <w:r w:rsidR="006E52A1" w:rsidRPr="00130C7A">
        <w:rPr>
          <w:lang w:val="fr-FR"/>
        </w:rPr>
        <w:t xml:space="preserve"> retrouvèrent</w:t>
      </w:r>
      <w:r w:rsidR="00E53846" w:rsidRPr="00130C7A">
        <w:rPr>
          <w:lang w:val="fr-FR"/>
        </w:rPr>
        <w:t xml:space="preserve"> </w:t>
      </w:r>
      <w:r w:rsidR="006E52A1" w:rsidRPr="00130C7A">
        <w:rPr>
          <w:lang w:val="fr-FR"/>
        </w:rPr>
        <w:t>dans sa cellule plusieurs cachets de médicaments psychotropes</w:t>
      </w:r>
      <w:r w:rsidR="00227DDA" w:rsidRPr="00130C7A">
        <w:rPr>
          <w:lang w:val="fr-FR"/>
        </w:rPr>
        <w:t xml:space="preserve"> faisant partie de son traitement de désintoxication</w:t>
      </w:r>
      <w:r w:rsidR="006E52A1" w:rsidRPr="00130C7A">
        <w:rPr>
          <w:lang w:val="fr-FR"/>
        </w:rPr>
        <w:t xml:space="preserve">. </w:t>
      </w:r>
      <w:r w:rsidR="0069188A" w:rsidRPr="00130C7A">
        <w:rPr>
          <w:lang w:val="fr-FR"/>
        </w:rPr>
        <w:t>Ces derniers furent saisis</w:t>
      </w:r>
      <w:r w:rsidR="005945AB" w:rsidRPr="00130C7A">
        <w:rPr>
          <w:lang w:val="fr-FR"/>
        </w:rPr>
        <w:t>,</w:t>
      </w:r>
      <w:r w:rsidR="0069188A" w:rsidRPr="00130C7A">
        <w:rPr>
          <w:lang w:val="fr-FR"/>
        </w:rPr>
        <w:t xml:space="preserve"> et </w:t>
      </w:r>
      <w:r w:rsidR="002F30CF" w:rsidRPr="00130C7A">
        <w:rPr>
          <w:lang w:val="fr-FR"/>
        </w:rPr>
        <w:t xml:space="preserve">une adaptation du </w:t>
      </w:r>
      <w:r w:rsidR="0069188A" w:rsidRPr="00130C7A">
        <w:rPr>
          <w:lang w:val="fr-FR"/>
        </w:rPr>
        <w:t>protocole d</w:t>
      </w:r>
      <w:r w:rsidR="00130C7A" w:rsidRPr="00130C7A">
        <w:rPr>
          <w:lang w:val="fr-FR"/>
        </w:rPr>
        <w:t>’</w:t>
      </w:r>
      <w:r w:rsidR="0069188A" w:rsidRPr="00130C7A">
        <w:rPr>
          <w:lang w:val="fr-FR"/>
        </w:rPr>
        <w:t>administration du traitement</w:t>
      </w:r>
      <w:r w:rsidR="002F30CF" w:rsidRPr="00130C7A">
        <w:rPr>
          <w:lang w:val="fr-FR"/>
        </w:rPr>
        <w:t>, consistant à ne plus confier l</w:t>
      </w:r>
      <w:r w:rsidR="0069188A" w:rsidRPr="00130C7A">
        <w:rPr>
          <w:lang w:val="fr-FR"/>
        </w:rPr>
        <w:t>es cachets au détenu</w:t>
      </w:r>
      <w:r w:rsidR="002F30CF" w:rsidRPr="00130C7A">
        <w:rPr>
          <w:lang w:val="fr-FR"/>
        </w:rPr>
        <w:t>, eut lieu</w:t>
      </w:r>
      <w:r w:rsidR="0069188A" w:rsidRPr="00130C7A">
        <w:rPr>
          <w:lang w:val="fr-FR"/>
        </w:rPr>
        <w:t>.</w:t>
      </w:r>
      <w:r w:rsidR="00D43229" w:rsidRPr="00130C7A">
        <w:rPr>
          <w:lang w:val="fr-FR"/>
        </w:rPr>
        <w:t xml:space="preserve"> </w:t>
      </w:r>
      <w:r w:rsidR="0069188A" w:rsidRPr="00130C7A">
        <w:rPr>
          <w:lang w:val="fr-FR"/>
        </w:rPr>
        <w:t>Enfin</w:t>
      </w:r>
      <w:r w:rsidR="00522670" w:rsidRPr="00130C7A">
        <w:rPr>
          <w:lang w:val="fr-FR"/>
        </w:rPr>
        <w:t>, il r</w:t>
      </w:r>
      <w:r w:rsidR="00AA2902" w:rsidRPr="00130C7A">
        <w:rPr>
          <w:lang w:val="fr-FR"/>
        </w:rPr>
        <w:t>essort du dossier médical qu</w:t>
      </w:r>
      <w:r w:rsidR="005945AB" w:rsidRPr="00130C7A">
        <w:rPr>
          <w:lang w:val="fr-FR"/>
        </w:rPr>
        <w:t xml:space="preserve">e </w:t>
      </w:r>
      <w:r w:rsidR="00AA2902" w:rsidRPr="00130C7A">
        <w:rPr>
          <w:lang w:val="fr-FR"/>
        </w:rPr>
        <w:t xml:space="preserve">A. </w:t>
      </w:r>
      <w:r w:rsidR="00522670" w:rsidRPr="00130C7A">
        <w:rPr>
          <w:lang w:val="fr-FR"/>
        </w:rPr>
        <w:t>refusait souvent de se soumettre aux traitements préconisés par les médecins</w:t>
      </w:r>
      <w:r w:rsidR="00AA2902" w:rsidRPr="00130C7A">
        <w:rPr>
          <w:lang w:val="fr-FR"/>
        </w:rPr>
        <w:t xml:space="preserve"> pour soigner la cirrhose</w:t>
      </w:r>
      <w:r w:rsidR="00317362" w:rsidRPr="00130C7A">
        <w:rPr>
          <w:lang w:val="fr-FR"/>
        </w:rPr>
        <w:t xml:space="preserve"> </w:t>
      </w:r>
      <w:r w:rsidR="00AA2902" w:rsidRPr="00130C7A">
        <w:rPr>
          <w:lang w:val="fr-FR"/>
        </w:rPr>
        <w:t>dont il souffrait</w:t>
      </w:r>
      <w:r w:rsidR="00522670" w:rsidRPr="00130C7A">
        <w:rPr>
          <w:lang w:val="fr-FR"/>
        </w:rPr>
        <w:t>.</w:t>
      </w:r>
    </w:p>
    <w:p w:rsidR="00E77CB3" w:rsidRPr="00130C7A" w:rsidRDefault="00716CCD"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w:t>
      </w:r>
      <w:r w:rsidRPr="00130C7A">
        <w:rPr>
          <w:lang w:val="fr-FR"/>
        </w:rPr>
        <w:fldChar w:fldCharType="end"/>
      </w:r>
      <w:r w:rsidRPr="00130C7A">
        <w:rPr>
          <w:lang w:val="fr-FR"/>
        </w:rPr>
        <w:t>.  </w:t>
      </w:r>
      <w:r w:rsidR="00EA4C16" w:rsidRPr="00130C7A">
        <w:rPr>
          <w:lang w:val="fr-FR"/>
        </w:rPr>
        <w:t>Le</w:t>
      </w:r>
      <w:r w:rsidR="00EC5049" w:rsidRPr="00130C7A">
        <w:rPr>
          <w:lang w:val="fr-FR"/>
        </w:rPr>
        <w:t xml:space="preserve"> 12 mai 2005, </w:t>
      </w:r>
      <w:r w:rsidR="00EA4C16" w:rsidRPr="00130C7A">
        <w:rPr>
          <w:lang w:val="fr-FR"/>
        </w:rPr>
        <w:t>A.</w:t>
      </w:r>
      <w:r w:rsidR="00EC5049" w:rsidRPr="00130C7A">
        <w:rPr>
          <w:lang w:val="fr-FR"/>
        </w:rPr>
        <w:t xml:space="preserve"> </w:t>
      </w:r>
      <w:r w:rsidR="00EE600B" w:rsidRPr="00130C7A">
        <w:rPr>
          <w:lang w:val="fr-FR"/>
        </w:rPr>
        <w:t>fut</w:t>
      </w:r>
      <w:r w:rsidR="00EC5049" w:rsidRPr="00130C7A">
        <w:rPr>
          <w:lang w:val="fr-FR"/>
        </w:rPr>
        <w:t xml:space="preserve"> surpris par un agent</w:t>
      </w:r>
      <w:r w:rsidR="00161D6F" w:rsidRPr="00130C7A">
        <w:rPr>
          <w:lang w:val="fr-FR"/>
        </w:rPr>
        <w:t xml:space="preserve"> </w:t>
      </w:r>
      <w:r w:rsidR="00EC5049" w:rsidRPr="00130C7A">
        <w:rPr>
          <w:lang w:val="fr-FR"/>
        </w:rPr>
        <w:t>pénitentiaire en train d</w:t>
      </w:r>
      <w:r w:rsidR="00130C7A" w:rsidRPr="00130C7A">
        <w:rPr>
          <w:lang w:val="fr-FR"/>
        </w:rPr>
        <w:t>’</w:t>
      </w:r>
      <w:r w:rsidR="00EC5049" w:rsidRPr="00130C7A">
        <w:rPr>
          <w:lang w:val="fr-FR"/>
        </w:rPr>
        <w:t>in</w:t>
      </w:r>
      <w:r w:rsidR="00DB0034" w:rsidRPr="00130C7A">
        <w:rPr>
          <w:lang w:val="fr-FR"/>
        </w:rPr>
        <w:t xml:space="preserve">haler le gaz </w:t>
      </w:r>
      <w:r w:rsidR="000D7CE1" w:rsidRPr="00130C7A">
        <w:rPr>
          <w:lang w:val="fr-FR"/>
        </w:rPr>
        <w:t xml:space="preserve">contenu dans les cartouches </w:t>
      </w:r>
      <w:r w:rsidR="00DB0034" w:rsidRPr="00130C7A">
        <w:rPr>
          <w:lang w:val="fr-FR"/>
        </w:rPr>
        <w:t>fourni</w:t>
      </w:r>
      <w:r w:rsidR="000D7CE1" w:rsidRPr="00130C7A">
        <w:rPr>
          <w:lang w:val="fr-FR"/>
        </w:rPr>
        <w:t>es</w:t>
      </w:r>
      <w:r w:rsidR="00DB0034" w:rsidRPr="00130C7A">
        <w:rPr>
          <w:lang w:val="fr-FR"/>
        </w:rPr>
        <w:t xml:space="preserve"> aux détenus</w:t>
      </w:r>
      <w:r w:rsidR="00EC5049" w:rsidRPr="00130C7A">
        <w:rPr>
          <w:lang w:val="fr-FR"/>
        </w:rPr>
        <w:t xml:space="preserve"> pour cuisiner. </w:t>
      </w:r>
      <w:r w:rsidR="003A254F" w:rsidRPr="00130C7A">
        <w:rPr>
          <w:lang w:val="fr-FR"/>
        </w:rPr>
        <w:t>À la s</w:t>
      </w:r>
      <w:r w:rsidR="00EC5049" w:rsidRPr="00130C7A">
        <w:rPr>
          <w:lang w:val="fr-FR"/>
        </w:rPr>
        <w:t xml:space="preserve">uite </w:t>
      </w:r>
      <w:r w:rsidR="003A254F" w:rsidRPr="00130C7A">
        <w:rPr>
          <w:lang w:val="fr-FR"/>
        </w:rPr>
        <w:t>de l</w:t>
      </w:r>
      <w:r w:rsidR="00130C7A" w:rsidRPr="00130C7A">
        <w:rPr>
          <w:lang w:val="fr-FR"/>
        </w:rPr>
        <w:t>’</w:t>
      </w:r>
      <w:r w:rsidR="003A254F" w:rsidRPr="00130C7A">
        <w:rPr>
          <w:lang w:val="fr-FR"/>
        </w:rPr>
        <w:t>établissement d</w:t>
      </w:r>
      <w:r w:rsidR="00130C7A" w:rsidRPr="00130C7A">
        <w:rPr>
          <w:lang w:val="fr-FR"/>
        </w:rPr>
        <w:t>’</w:t>
      </w:r>
      <w:r w:rsidR="003A254F" w:rsidRPr="00130C7A">
        <w:rPr>
          <w:lang w:val="fr-FR"/>
        </w:rPr>
        <w:t>un</w:t>
      </w:r>
      <w:r w:rsidR="00EC5049" w:rsidRPr="00130C7A">
        <w:rPr>
          <w:lang w:val="fr-FR"/>
        </w:rPr>
        <w:t xml:space="preserve"> rapport </w:t>
      </w:r>
      <w:r w:rsidR="003A254F" w:rsidRPr="00130C7A">
        <w:rPr>
          <w:lang w:val="fr-FR"/>
        </w:rPr>
        <w:t>par</w:t>
      </w:r>
      <w:r w:rsidR="00EC5049" w:rsidRPr="00130C7A">
        <w:rPr>
          <w:lang w:val="fr-FR"/>
        </w:rPr>
        <w:t xml:space="preserve"> </w:t>
      </w:r>
      <w:r w:rsidR="003A254F" w:rsidRPr="00130C7A">
        <w:rPr>
          <w:lang w:val="fr-FR"/>
        </w:rPr>
        <w:t xml:space="preserve">cet </w:t>
      </w:r>
      <w:r w:rsidR="00A639FC" w:rsidRPr="00130C7A">
        <w:rPr>
          <w:lang w:val="fr-FR"/>
        </w:rPr>
        <w:t xml:space="preserve">agent, il </w:t>
      </w:r>
      <w:r w:rsidR="00EC5049" w:rsidRPr="00130C7A">
        <w:rPr>
          <w:lang w:val="fr-FR"/>
        </w:rPr>
        <w:t xml:space="preserve">fut </w:t>
      </w:r>
      <w:r w:rsidR="00306DD5" w:rsidRPr="00130C7A">
        <w:rPr>
          <w:lang w:val="fr-FR"/>
        </w:rPr>
        <w:t xml:space="preserve">déféré devant la </w:t>
      </w:r>
      <w:r w:rsidR="003A254F" w:rsidRPr="00130C7A">
        <w:rPr>
          <w:lang w:val="fr-FR"/>
        </w:rPr>
        <w:t>c</w:t>
      </w:r>
      <w:r w:rsidR="00306DD5" w:rsidRPr="00130C7A">
        <w:rPr>
          <w:lang w:val="fr-FR"/>
        </w:rPr>
        <w:t>ommis</w:t>
      </w:r>
      <w:r w:rsidR="006C4861" w:rsidRPr="00130C7A">
        <w:rPr>
          <w:lang w:val="fr-FR"/>
        </w:rPr>
        <w:t xml:space="preserve">sion de discipline de la prison. </w:t>
      </w:r>
      <w:r w:rsidR="000D7CE1" w:rsidRPr="00130C7A">
        <w:rPr>
          <w:lang w:val="fr-FR"/>
        </w:rPr>
        <w:t>L</w:t>
      </w:r>
      <w:r w:rsidR="00130C7A" w:rsidRPr="00130C7A">
        <w:rPr>
          <w:lang w:val="fr-FR"/>
        </w:rPr>
        <w:t>’</w:t>
      </w:r>
      <w:r w:rsidR="000D7CE1" w:rsidRPr="00130C7A">
        <w:rPr>
          <w:lang w:val="fr-FR"/>
        </w:rPr>
        <w:t>intéressé</w:t>
      </w:r>
      <w:r w:rsidR="006C4861" w:rsidRPr="00130C7A">
        <w:rPr>
          <w:lang w:val="fr-FR"/>
        </w:rPr>
        <w:t xml:space="preserve"> justifia les faits </w:t>
      </w:r>
      <w:r w:rsidR="003A254F" w:rsidRPr="00130C7A">
        <w:rPr>
          <w:lang w:val="fr-FR"/>
        </w:rPr>
        <w:t xml:space="preserve">en </w:t>
      </w:r>
      <w:r w:rsidR="006C4861" w:rsidRPr="00130C7A">
        <w:rPr>
          <w:lang w:val="fr-FR"/>
        </w:rPr>
        <w:t xml:space="preserve">affirmant </w:t>
      </w:r>
      <w:r w:rsidR="003A254F" w:rsidRPr="00130C7A">
        <w:rPr>
          <w:lang w:val="fr-FR"/>
        </w:rPr>
        <w:t xml:space="preserve">que, son bras étant plâtré, il avait </w:t>
      </w:r>
      <w:r w:rsidR="00306DD5" w:rsidRPr="00130C7A">
        <w:rPr>
          <w:lang w:val="fr-FR"/>
        </w:rPr>
        <w:t>essayé d</w:t>
      </w:r>
      <w:r w:rsidR="00130C7A" w:rsidRPr="00130C7A">
        <w:rPr>
          <w:lang w:val="fr-FR"/>
        </w:rPr>
        <w:t>’</w:t>
      </w:r>
      <w:r w:rsidR="00306DD5" w:rsidRPr="00130C7A">
        <w:rPr>
          <w:lang w:val="fr-FR"/>
        </w:rPr>
        <w:t>ouvrir la cartouche de gaz avec la bouche. Le 19 mai</w:t>
      </w:r>
      <w:r w:rsidR="00A7703B" w:rsidRPr="00130C7A">
        <w:rPr>
          <w:lang w:val="fr-FR"/>
        </w:rPr>
        <w:t xml:space="preserve"> 2005</w:t>
      </w:r>
      <w:r w:rsidR="00C4478C" w:rsidRPr="00130C7A">
        <w:rPr>
          <w:lang w:val="fr-FR"/>
        </w:rPr>
        <w:t>,</w:t>
      </w:r>
      <w:r w:rsidR="000D7CE1" w:rsidRPr="00130C7A">
        <w:rPr>
          <w:lang w:val="fr-FR"/>
        </w:rPr>
        <w:t xml:space="preserve"> la </w:t>
      </w:r>
      <w:r w:rsidR="003A254F" w:rsidRPr="00130C7A">
        <w:rPr>
          <w:lang w:val="fr-FR"/>
        </w:rPr>
        <w:t>c</w:t>
      </w:r>
      <w:r w:rsidR="00306DD5" w:rsidRPr="00130C7A">
        <w:rPr>
          <w:lang w:val="fr-FR"/>
        </w:rPr>
        <w:t xml:space="preserve">ommission </w:t>
      </w:r>
      <w:r w:rsidR="000D7CE1" w:rsidRPr="00130C7A">
        <w:rPr>
          <w:lang w:val="fr-FR"/>
        </w:rPr>
        <w:t xml:space="preserve">de discipline </w:t>
      </w:r>
      <w:r w:rsidR="00306DD5" w:rsidRPr="00130C7A">
        <w:rPr>
          <w:lang w:val="fr-FR"/>
        </w:rPr>
        <w:t xml:space="preserve">considéra </w:t>
      </w:r>
      <w:r w:rsidR="002001F4" w:rsidRPr="00130C7A">
        <w:rPr>
          <w:lang w:val="fr-FR"/>
        </w:rPr>
        <w:t xml:space="preserve">comme </w:t>
      </w:r>
      <w:r w:rsidR="00306DD5" w:rsidRPr="00130C7A">
        <w:rPr>
          <w:lang w:val="fr-FR"/>
        </w:rPr>
        <w:t xml:space="preserve">crédible la version du détenu et </w:t>
      </w:r>
      <w:r w:rsidR="00801522" w:rsidRPr="00130C7A">
        <w:rPr>
          <w:lang w:val="fr-FR"/>
        </w:rPr>
        <w:t>mit fin à</w:t>
      </w:r>
      <w:r w:rsidR="007C0BBA" w:rsidRPr="00130C7A">
        <w:rPr>
          <w:lang w:val="fr-FR"/>
        </w:rPr>
        <w:t xml:space="preserve"> la procédure </w:t>
      </w:r>
      <w:r w:rsidR="00DB0034" w:rsidRPr="00130C7A">
        <w:rPr>
          <w:lang w:val="fr-FR"/>
        </w:rPr>
        <w:t xml:space="preserve">disciplinaire </w:t>
      </w:r>
      <w:r w:rsidR="007C0BBA" w:rsidRPr="00130C7A">
        <w:rPr>
          <w:lang w:val="fr-FR"/>
        </w:rPr>
        <w:t>en</w:t>
      </w:r>
      <w:r w:rsidR="000D7CE1" w:rsidRPr="00130C7A">
        <w:rPr>
          <w:lang w:val="fr-FR"/>
        </w:rPr>
        <w:t xml:space="preserve"> </w:t>
      </w:r>
      <w:r w:rsidR="00801522" w:rsidRPr="00130C7A">
        <w:rPr>
          <w:lang w:val="fr-FR"/>
        </w:rPr>
        <w:t>recommand</w:t>
      </w:r>
      <w:r w:rsidR="00317362" w:rsidRPr="00130C7A">
        <w:rPr>
          <w:lang w:val="fr-FR"/>
        </w:rPr>
        <w:t xml:space="preserve">ant </w:t>
      </w:r>
      <w:r w:rsidR="003A254F" w:rsidRPr="00130C7A">
        <w:rPr>
          <w:lang w:val="fr-FR"/>
        </w:rPr>
        <w:t>à l</w:t>
      </w:r>
      <w:r w:rsidR="00130C7A" w:rsidRPr="00130C7A">
        <w:rPr>
          <w:lang w:val="fr-FR"/>
        </w:rPr>
        <w:t>’</w:t>
      </w:r>
      <w:r w:rsidR="003A254F" w:rsidRPr="00130C7A">
        <w:rPr>
          <w:lang w:val="fr-FR"/>
        </w:rPr>
        <w:t xml:space="preserve">intéressé </w:t>
      </w:r>
      <w:r w:rsidR="00317362" w:rsidRPr="00130C7A">
        <w:rPr>
          <w:lang w:val="fr-FR"/>
        </w:rPr>
        <w:t>d</w:t>
      </w:r>
      <w:r w:rsidR="00130C7A" w:rsidRPr="00130C7A">
        <w:rPr>
          <w:lang w:val="fr-FR"/>
        </w:rPr>
        <w:t>’</w:t>
      </w:r>
      <w:r w:rsidR="00306DD5" w:rsidRPr="00130C7A">
        <w:rPr>
          <w:lang w:val="fr-FR"/>
        </w:rPr>
        <w:t xml:space="preserve">utiliser </w:t>
      </w:r>
      <w:r w:rsidR="00A92243" w:rsidRPr="00130C7A">
        <w:rPr>
          <w:lang w:val="fr-FR"/>
        </w:rPr>
        <w:t>le</w:t>
      </w:r>
      <w:r w:rsidR="003D5709" w:rsidRPr="00130C7A">
        <w:rPr>
          <w:lang w:val="fr-FR"/>
        </w:rPr>
        <w:t>s cartouches de</w:t>
      </w:r>
      <w:r w:rsidR="00306DD5" w:rsidRPr="00130C7A">
        <w:rPr>
          <w:lang w:val="fr-FR"/>
        </w:rPr>
        <w:t xml:space="preserve"> gaz avec </w:t>
      </w:r>
      <w:r w:rsidR="00801522" w:rsidRPr="00130C7A">
        <w:rPr>
          <w:lang w:val="fr-FR"/>
        </w:rPr>
        <w:t>prudence</w:t>
      </w:r>
      <w:r w:rsidR="00306DD5" w:rsidRPr="00130C7A">
        <w:rPr>
          <w:lang w:val="fr-FR"/>
        </w:rPr>
        <w:t xml:space="preserve">. </w:t>
      </w:r>
      <w:r w:rsidR="000D7CE1" w:rsidRPr="00130C7A">
        <w:rPr>
          <w:lang w:val="fr-FR"/>
        </w:rPr>
        <w:t xml:space="preserve">Dans ses conclusions, la </w:t>
      </w:r>
      <w:r w:rsidR="00801522" w:rsidRPr="00130C7A">
        <w:rPr>
          <w:lang w:val="fr-FR"/>
        </w:rPr>
        <w:t>c</w:t>
      </w:r>
      <w:r w:rsidR="00444A50" w:rsidRPr="00130C7A">
        <w:rPr>
          <w:lang w:val="fr-FR"/>
        </w:rPr>
        <w:t xml:space="preserve">ommission </w:t>
      </w:r>
      <w:r w:rsidR="0042260B" w:rsidRPr="00130C7A">
        <w:rPr>
          <w:lang w:val="fr-FR"/>
        </w:rPr>
        <w:t xml:space="preserve">de discipline </w:t>
      </w:r>
      <w:r w:rsidR="00444A50" w:rsidRPr="00130C7A">
        <w:rPr>
          <w:lang w:val="fr-FR"/>
        </w:rPr>
        <w:t xml:space="preserve">prit acte du fait que </w:t>
      </w:r>
      <w:r w:rsidR="00FF54DB" w:rsidRPr="00130C7A">
        <w:rPr>
          <w:lang w:val="fr-FR"/>
        </w:rPr>
        <w:t>le médecin de la</w:t>
      </w:r>
      <w:r w:rsidR="002C2B1F" w:rsidRPr="00130C7A">
        <w:rPr>
          <w:lang w:val="fr-FR"/>
        </w:rPr>
        <w:t xml:space="preserve"> prison</w:t>
      </w:r>
      <w:r w:rsidR="00801522" w:rsidRPr="00130C7A">
        <w:rPr>
          <w:lang w:val="fr-FR"/>
        </w:rPr>
        <w:t>,</w:t>
      </w:r>
      <w:r w:rsidR="002C2B1F" w:rsidRPr="00130C7A">
        <w:rPr>
          <w:lang w:val="fr-FR"/>
        </w:rPr>
        <w:t xml:space="preserve"> qui avait examiné A. </w:t>
      </w:r>
      <w:r w:rsidR="00127EC7" w:rsidRPr="00130C7A">
        <w:rPr>
          <w:lang w:val="fr-FR"/>
        </w:rPr>
        <w:t xml:space="preserve">aussitôt </w:t>
      </w:r>
      <w:r w:rsidR="002C2B1F" w:rsidRPr="00130C7A">
        <w:rPr>
          <w:lang w:val="fr-FR"/>
        </w:rPr>
        <w:t>après les faits</w:t>
      </w:r>
      <w:r w:rsidR="00801522" w:rsidRPr="00130C7A">
        <w:rPr>
          <w:lang w:val="fr-FR"/>
        </w:rPr>
        <w:t>,</w:t>
      </w:r>
      <w:r w:rsidR="002C2B1F" w:rsidRPr="00130C7A">
        <w:rPr>
          <w:lang w:val="fr-FR"/>
        </w:rPr>
        <w:t xml:space="preserve"> </w:t>
      </w:r>
      <w:r w:rsidR="00FF54DB" w:rsidRPr="00130C7A">
        <w:rPr>
          <w:lang w:val="fr-FR"/>
        </w:rPr>
        <w:t>n</w:t>
      </w:r>
      <w:r w:rsidR="00130C7A" w:rsidRPr="00130C7A">
        <w:rPr>
          <w:lang w:val="fr-FR"/>
        </w:rPr>
        <w:t>’</w:t>
      </w:r>
      <w:r w:rsidR="00EB6874" w:rsidRPr="00130C7A">
        <w:rPr>
          <w:lang w:val="fr-FR"/>
        </w:rPr>
        <w:t>avait pas constaté de</w:t>
      </w:r>
      <w:r w:rsidR="00FF54DB" w:rsidRPr="00130C7A">
        <w:rPr>
          <w:lang w:val="fr-FR"/>
        </w:rPr>
        <w:t xml:space="preserve"> signes </w:t>
      </w:r>
      <w:r w:rsidR="002C2B1F" w:rsidRPr="00130C7A">
        <w:rPr>
          <w:lang w:val="fr-FR"/>
        </w:rPr>
        <w:t xml:space="preserve">évidents </w:t>
      </w:r>
      <w:r w:rsidR="00FF54DB" w:rsidRPr="00130C7A">
        <w:rPr>
          <w:lang w:val="fr-FR"/>
        </w:rPr>
        <w:t>d</w:t>
      </w:r>
      <w:r w:rsidR="00130C7A" w:rsidRPr="00130C7A">
        <w:rPr>
          <w:lang w:val="fr-FR"/>
        </w:rPr>
        <w:t>’</w:t>
      </w:r>
      <w:r w:rsidR="00FF54DB" w:rsidRPr="00130C7A">
        <w:rPr>
          <w:lang w:val="fr-FR"/>
        </w:rPr>
        <w:t>intoxication</w:t>
      </w:r>
      <w:r w:rsidR="00EA4C16" w:rsidRPr="00130C7A">
        <w:rPr>
          <w:lang w:val="fr-FR"/>
        </w:rPr>
        <w:t xml:space="preserve"> </w:t>
      </w:r>
      <w:r w:rsidR="00801522" w:rsidRPr="00130C7A">
        <w:rPr>
          <w:lang w:val="fr-FR"/>
        </w:rPr>
        <w:t>au</w:t>
      </w:r>
      <w:r w:rsidR="00EA4C16" w:rsidRPr="00130C7A">
        <w:rPr>
          <w:lang w:val="fr-FR"/>
        </w:rPr>
        <w:t xml:space="preserve"> gaz</w:t>
      </w:r>
      <w:r w:rsidR="00FF54DB" w:rsidRPr="00130C7A">
        <w:rPr>
          <w:lang w:val="fr-FR"/>
        </w:rPr>
        <w:t>.</w:t>
      </w:r>
    </w:p>
    <w:p w:rsidR="001E18AA" w:rsidRPr="00130C7A" w:rsidRDefault="001C7B14"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10</w:t>
      </w:r>
      <w:r w:rsidRPr="00130C7A">
        <w:rPr>
          <w:lang w:val="fr-FR"/>
        </w:rPr>
        <w:fldChar w:fldCharType="end"/>
      </w:r>
      <w:r w:rsidRPr="00130C7A">
        <w:rPr>
          <w:lang w:val="fr-FR"/>
        </w:rPr>
        <w:t>.  </w:t>
      </w:r>
      <w:r w:rsidR="001B1C6D" w:rsidRPr="00130C7A">
        <w:rPr>
          <w:lang w:val="fr-FR"/>
        </w:rPr>
        <w:t>Le 30 mai 2005, A. fut retrouvé mort dans sa cellule</w:t>
      </w:r>
      <w:r w:rsidR="008E5571" w:rsidRPr="00130C7A">
        <w:rPr>
          <w:lang w:val="fr-FR"/>
        </w:rPr>
        <w:t xml:space="preserve"> par </w:t>
      </w:r>
      <w:r w:rsidR="00DB5B98" w:rsidRPr="00130C7A">
        <w:rPr>
          <w:lang w:val="fr-FR"/>
        </w:rPr>
        <w:t xml:space="preserve">S.R., un codétenu </w:t>
      </w:r>
      <w:r w:rsidR="00B05B56" w:rsidRPr="00130C7A">
        <w:rPr>
          <w:lang w:val="fr-FR"/>
        </w:rPr>
        <w:t xml:space="preserve">affecté au </w:t>
      </w:r>
      <w:r w:rsidR="00E87800" w:rsidRPr="00130C7A">
        <w:rPr>
          <w:lang w:val="fr-FR"/>
        </w:rPr>
        <w:t>nettoyage</w:t>
      </w:r>
      <w:r w:rsidR="00B05B56" w:rsidRPr="00130C7A">
        <w:rPr>
          <w:lang w:val="fr-FR"/>
        </w:rPr>
        <w:t xml:space="preserve"> </w:t>
      </w:r>
      <w:r w:rsidR="00E87800" w:rsidRPr="00130C7A">
        <w:rPr>
          <w:lang w:val="fr-FR"/>
        </w:rPr>
        <w:t xml:space="preserve">des cellules </w:t>
      </w:r>
      <w:r w:rsidR="00B05B56" w:rsidRPr="00130C7A">
        <w:rPr>
          <w:lang w:val="fr-FR"/>
        </w:rPr>
        <w:t>et à la distribution de</w:t>
      </w:r>
      <w:r w:rsidR="00A92243" w:rsidRPr="00130C7A">
        <w:rPr>
          <w:lang w:val="fr-FR"/>
        </w:rPr>
        <w:t>s</w:t>
      </w:r>
      <w:r w:rsidR="00B05B56" w:rsidRPr="00130C7A">
        <w:rPr>
          <w:lang w:val="fr-FR"/>
        </w:rPr>
        <w:t xml:space="preserve"> </w:t>
      </w:r>
      <w:r w:rsidR="00EA4C16" w:rsidRPr="00130C7A">
        <w:rPr>
          <w:lang w:val="fr-FR"/>
        </w:rPr>
        <w:t>repas</w:t>
      </w:r>
      <w:r w:rsidR="00DB5B98" w:rsidRPr="00130C7A">
        <w:rPr>
          <w:lang w:val="fr-FR"/>
        </w:rPr>
        <w:t>.</w:t>
      </w:r>
      <w:r w:rsidR="001B1C6D" w:rsidRPr="00130C7A">
        <w:rPr>
          <w:lang w:val="fr-FR"/>
        </w:rPr>
        <w:t xml:space="preserve"> </w:t>
      </w:r>
      <w:r w:rsidR="00970C37" w:rsidRPr="00130C7A">
        <w:rPr>
          <w:lang w:val="fr-FR"/>
        </w:rPr>
        <w:t xml:space="preserve">Selon le rapport établi par les autorités pénitentiaires, </w:t>
      </w:r>
      <w:r w:rsidR="00E74562" w:rsidRPr="00130C7A">
        <w:rPr>
          <w:lang w:val="fr-FR"/>
        </w:rPr>
        <w:t>le</w:t>
      </w:r>
      <w:r w:rsidR="002B76A7" w:rsidRPr="00130C7A">
        <w:rPr>
          <w:lang w:val="fr-FR"/>
        </w:rPr>
        <w:t>s</w:t>
      </w:r>
      <w:r w:rsidR="00E74562" w:rsidRPr="00130C7A">
        <w:rPr>
          <w:lang w:val="fr-FR"/>
        </w:rPr>
        <w:t xml:space="preserve"> médecins relevèrent</w:t>
      </w:r>
      <w:r w:rsidR="00DE1BB2" w:rsidRPr="00130C7A">
        <w:rPr>
          <w:lang w:val="fr-FR"/>
        </w:rPr>
        <w:t>, lors de la tentative de réanimation,</w:t>
      </w:r>
      <w:r w:rsidR="00E74562" w:rsidRPr="00130C7A">
        <w:rPr>
          <w:lang w:val="fr-FR"/>
        </w:rPr>
        <w:t xml:space="preserve"> </w:t>
      </w:r>
      <w:r w:rsidR="005A6A1B" w:rsidRPr="00130C7A">
        <w:rPr>
          <w:lang w:val="fr-FR"/>
        </w:rPr>
        <w:t>qu</w:t>
      </w:r>
      <w:r w:rsidR="00130C7A" w:rsidRPr="00130C7A">
        <w:rPr>
          <w:lang w:val="fr-FR"/>
        </w:rPr>
        <w:t>’</w:t>
      </w:r>
      <w:r w:rsidR="00E74562" w:rsidRPr="00130C7A">
        <w:rPr>
          <w:lang w:val="fr-FR"/>
        </w:rPr>
        <w:t>une odeur de gaz</w:t>
      </w:r>
      <w:r w:rsidR="002B76A7" w:rsidRPr="00130C7A">
        <w:rPr>
          <w:lang w:val="fr-FR"/>
        </w:rPr>
        <w:t xml:space="preserve"> </w:t>
      </w:r>
      <w:r w:rsidR="005A6A1B" w:rsidRPr="00130C7A">
        <w:rPr>
          <w:lang w:val="fr-FR"/>
        </w:rPr>
        <w:t xml:space="preserve">régnait </w:t>
      </w:r>
      <w:r w:rsidR="002B76A7" w:rsidRPr="00130C7A">
        <w:rPr>
          <w:lang w:val="fr-FR"/>
        </w:rPr>
        <w:t>dans la pièce et provena</w:t>
      </w:r>
      <w:r w:rsidR="005A6A1B" w:rsidRPr="00130C7A">
        <w:rPr>
          <w:lang w:val="fr-FR"/>
        </w:rPr>
        <w:t>i</w:t>
      </w:r>
      <w:r w:rsidR="002B76A7" w:rsidRPr="00130C7A">
        <w:rPr>
          <w:lang w:val="fr-FR"/>
        </w:rPr>
        <w:t>t de la bouche du patient</w:t>
      </w:r>
      <w:r w:rsidR="005A6A1B" w:rsidRPr="00130C7A">
        <w:rPr>
          <w:lang w:val="fr-FR"/>
        </w:rPr>
        <w:t>, et une</w:t>
      </w:r>
      <w:r w:rsidR="002B76A7" w:rsidRPr="00130C7A">
        <w:rPr>
          <w:lang w:val="fr-FR"/>
        </w:rPr>
        <w:t xml:space="preserve"> cartouche de gaz vide </w:t>
      </w:r>
      <w:r w:rsidR="00DE1BB2" w:rsidRPr="00130C7A">
        <w:rPr>
          <w:lang w:val="fr-FR"/>
        </w:rPr>
        <w:t>fut retrouvée</w:t>
      </w:r>
      <w:r w:rsidR="002B76A7" w:rsidRPr="00130C7A">
        <w:rPr>
          <w:lang w:val="fr-FR"/>
        </w:rPr>
        <w:t xml:space="preserve"> au sol</w:t>
      </w:r>
      <w:r w:rsidR="003F2807" w:rsidRPr="00130C7A">
        <w:rPr>
          <w:lang w:val="fr-FR"/>
        </w:rPr>
        <w:t xml:space="preserve"> à proximité du corps</w:t>
      </w:r>
      <w:r w:rsidR="002B76A7" w:rsidRPr="00130C7A">
        <w:rPr>
          <w:lang w:val="fr-FR"/>
        </w:rPr>
        <w:t>.</w:t>
      </w:r>
    </w:p>
    <w:p w:rsidR="00733233" w:rsidRPr="00130C7A" w:rsidRDefault="00C62EF5"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11</w:t>
      </w:r>
      <w:r w:rsidRPr="00130C7A">
        <w:rPr>
          <w:lang w:val="fr-FR"/>
        </w:rPr>
        <w:fldChar w:fldCharType="end"/>
      </w:r>
      <w:r w:rsidRPr="00130C7A">
        <w:rPr>
          <w:lang w:val="fr-FR"/>
        </w:rPr>
        <w:t>.  </w:t>
      </w:r>
      <w:r w:rsidR="00390594" w:rsidRPr="00130C7A">
        <w:rPr>
          <w:lang w:val="fr-FR"/>
        </w:rPr>
        <w:t>Des agents de la</w:t>
      </w:r>
      <w:r w:rsidRPr="00130C7A">
        <w:rPr>
          <w:lang w:val="fr-FR"/>
        </w:rPr>
        <w:t xml:space="preserve"> police pénitentiaire </w:t>
      </w:r>
      <w:r w:rsidR="00390594" w:rsidRPr="00130C7A">
        <w:rPr>
          <w:lang w:val="fr-FR"/>
        </w:rPr>
        <w:t>intervinrent</w:t>
      </w:r>
      <w:r w:rsidRPr="00130C7A">
        <w:rPr>
          <w:lang w:val="fr-FR"/>
        </w:rPr>
        <w:t xml:space="preserve"> sur les lieux</w:t>
      </w:r>
      <w:r w:rsidR="00733233" w:rsidRPr="00130C7A">
        <w:rPr>
          <w:lang w:val="fr-FR"/>
        </w:rPr>
        <w:t xml:space="preserve"> </w:t>
      </w:r>
      <w:r w:rsidR="00317362" w:rsidRPr="00130C7A">
        <w:rPr>
          <w:lang w:val="fr-FR"/>
        </w:rPr>
        <w:t>et constatèrent</w:t>
      </w:r>
      <w:r w:rsidR="00733233" w:rsidRPr="00130C7A">
        <w:rPr>
          <w:lang w:val="fr-FR"/>
        </w:rPr>
        <w:t xml:space="preserve"> le décès. </w:t>
      </w:r>
      <w:r w:rsidR="00390594" w:rsidRPr="00130C7A">
        <w:rPr>
          <w:lang w:val="fr-FR"/>
        </w:rPr>
        <w:t xml:space="preserve">Ils </w:t>
      </w:r>
      <w:r w:rsidR="00077F7D" w:rsidRPr="00130C7A">
        <w:rPr>
          <w:lang w:val="fr-FR"/>
        </w:rPr>
        <w:t>inspectèrent</w:t>
      </w:r>
      <w:r w:rsidR="00AD1E4C" w:rsidRPr="00130C7A">
        <w:rPr>
          <w:lang w:val="fr-FR"/>
        </w:rPr>
        <w:t xml:space="preserve"> la cellule de la victime</w:t>
      </w:r>
      <w:r w:rsidR="00390594" w:rsidRPr="00130C7A">
        <w:rPr>
          <w:lang w:val="fr-FR"/>
        </w:rPr>
        <w:t>, saisirent la c</w:t>
      </w:r>
      <w:r w:rsidR="00F75639" w:rsidRPr="00130C7A">
        <w:rPr>
          <w:lang w:val="fr-FR"/>
        </w:rPr>
        <w:t xml:space="preserve">artouche de gaz et auditionnèrent S.R. ainsi que les médecins qui avaient </w:t>
      </w:r>
      <w:r w:rsidR="00EA2D7C" w:rsidRPr="00130C7A">
        <w:rPr>
          <w:lang w:val="fr-FR"/>
        </w:rPr>
        <w:t>tenté</w:t>
      </w:r>
      <w:r w:rsidR="00F75639" w:rsidRPr="00130C7A">
        <w:rPr>
          <w:lang w:val="fr-FR"/>
        </w:rPr>
        <w:t xml:space="preserve"> de secourir </w:t>
      </w:r>
      <w:r w:rsidR="005A6A1B" w:rsidRPr="00130C7A">
        <w:rPr>
          <w:lang w:val="fr-FR"/>
        </w:rPr>
        <w:t>A</w:t>
      </w:r>
      <w:r w:rsidR="00F75639" w:rsidRPr="00130C7A">
        <w:rPr>
          <w:lang w:val="fr-FR"/>
        </w:rPr>
        <w:t>.</w:t>
      </w:r>
      <w:r w:rsidR="00C303A1" w:rsidRPr="00130C7A">
        <w:rPr>
          <w:lang w:val="fr-FR"/>
        </w:rPr>
        <w:t xml:space="preserve"> </w:t>
      </w:r>
      <w:r w:rsidR="00077F7D" w:rsidRPr="00130C7A">
        <w:rPr>
          <w:lang w:val="fr-FR"/>
        </w:rPr>
        <w:t>Le</w:t>
      </w:r>
      <w:r w:rsidR="0023446A" w:rsidRPr="00130C7A">
        <w:rPr>
          <w:lang w:val="fr-FR"/>
        </w:rPr>
        <w:t xml:space="preserve"> procureur de la R</w:t>
      </w:r>
      <w:r w:rsidR="00733233" w:rsidRPr="00130C7A">
        <w:rPr>
          <w:lang w:val="fr-FR"/>
        </w:rPr>
        <w:t>épublique ouvrit une enquête</w:t>
      </w:r>
      <w:r w:rsidR="0044083F" w:rsidRPr="00130C7A">
        <w:rPr>
          <w:lang w:val="fr-FR"/>
        </w:rPr>
        <w:t xml:space="preserve"> le jour même et ordonna </w:t>
      </w:r>
      <w:r w:rsidR="00620464" w:rsidRPr="00130C7A">
        <w:rPr>
          <w:lang w:val="fr-FR"/>
        </w:rPr>
        <w:t>l</w:t>
      </w:r>
      <w:r w:rsidR="00BD5666" w:rsidRPr="00130C7A">
        <w:rPr>
          <w:lang w:val="fr-FR"/>
        </w:rPr>
        <w:t>a réalisation</w:t>
      </w:r>
      <w:r w:rsidR="00620464" w:rsidRPr="00130C7A">
        <w:rPr>
          <w:lang w:val="fr-FR"/>
        </w:rPr>
        <w:t xml:space="preserve"> d</w:t>
      </w:r>
      <w:r w:rsidR="00130C7A" w:rsidRPr="00130C7A">
        <w:rPr>
          <w:lang w:val="fr-FR"/>
        </w:rPr>
        <w:t>’</w:t>
      </w:r>
      <w:r w:rsidR="0044083F" w:rsidRPr="00130C7A">
        <w:rPr>
          <w:lang w:val="fr-FR"/>
        </w:rPr>
        <w:t>une expertise médicolégale</w:t>
      </w:r>
      <w:r w:rsidR="00AD3B74" w:rsidRPr="00130C7A">
        <w:rPr>
          <w:lang w:val="fr-FR"/>
        </w:rPr>
        <w:t xml:space="preserve"> sur le corps</w:t>
      </w:r>
      <w:r w:rsidR="00077F7D" w:rsidRPr="00130C7A">
        <w:rPr>
          <w:lang w:val="fr-FR"/>
        </w:rPr>
        <w:t xml:space="preserve"> d</w:t>
      </w:r>
      <w:r w:rsidR="005945AB" w:rsidRPr="00130C7A">
        <w:rPr>
          <w:lang w:val="fr-FR"/>
        </w:rPr>
        <w:t xml:space="preserve">e </w:t>
      </w:r>
      <w:r w:rsidR="00077F7D" w:rsidRPr="00130C7A">
        <w:rPr>
          <w:lang w:val="fr-FR"/>
        </w:rPr>
        <w:t>A</w:t>
      </w:r>
      <w:r w:rsidR="00733233" w:rsidRPr="00130C7A">
        <w:rPr>
          <w:lang w:val="fr-FR"/>
        </w:rPr>
        <w:t>.</w:t>
      </w:r>
      <w:r w:rsidR="00620464" w:rsidRPr="00130C7A">
        <w:rPr>
          <w:lang w:val="fr-FR"/>
        </w:rPr>
        <w:t xml:space="preserve"> Le</w:t>
      </w:r>
      <w:r w:rsidR="00CB051C" w:rsidRPr="00130C7A">
        <w:rPr>
          <w:lang w:val="fr-FR"/>
        </w:rPr>
        <w:t>s</w:t>
      </w:r>
      <w:r w:rsidR="00620464" w:rsidRPr="00130C7A">
        <w:rPr>
          <w:lang w:val="fr-FR"/>
        </w:rPr>
        <w:t xml:space="preserve"> requérant</w:t>
      </w:r>
      <w:r w:rsidR="00CB051C" w:rsidRPr="00130C7A">
        <w:rPr>
          <w:lang w:val="fr-FR"/>
        </w:rPr>
        <w:t>s</w:t>
      </w:r>
      <w:r w:rsidR="00620464" w:rsidRPr="00130C7A">
        <w:rPr>
          <w:lang w:val="fr-FR"/>
        </w:rPr>
        <w:t xml:space="preserve"> ainsi que d</w:t>
      </w:r>
      <w:r w:rsidR="00130C7A" w:rsidRPr="00130C7A">
        <w:rPr>
          <w:lang w:val="fr-FR"/>
        </w:rPr>
        <w:t>’</w:t>
      </w:r>
      <w:r w:rsidR="00620464" w:rsidRPr="00130C7A">
        <w:rPr>
          <w:lang w:val="fr-FR"/>
        </w:rPr>
        <w:t>autres membre</w:t>
      </w:r>
      <w:r w:rsidR="00AD3B74" w:rsidRPr="00130C7A">
        <w:rPr>
          <w:lang w:val="fr-FR"/>
        </w:rPr>
        <w:t>s</w:t>
      </w:r>
      <w:r w:rsidR="00620464" w:rsidRPr="00130C7A">
        <w:rPr>
          <w:lang w:val="fr-FR"/>
        </w:rPr>
        <w:t xml:space="preserve"> de la famill</w:t>
      </w:r>
      <w:r w:rsidR="00CB051C" w:rsidRPr="00130C7A">
        <w:rPr>
          <w:lang w:val="fr-FR"/>
        </w:rPr>
        <w:t>e de la victime</w:t>
      </w:r>
      <w:r w:rsidR="00620464" w:rsidRPr="00130C7A">
        <w:rPr>
          <w:lang w:val="fr-FR"/>
        </w:rPr>
        <w:t xml:space="preserve"> </w:t>
      </w:r>
      <w:r w:rsidR="00620464" w:rsidRPr="00130C7A">
        <w:rPr>
          <w:lang w:val="fr-FR"/>
        </w:rPr>
        <w:lastRenderedPageBreak/>
        <w:t>furent invités</w:t>
      </w:r>
      <w:r w:rsidR="00992966" w:rsidRPr="00130C7A">
        <w:rPr>
          <w:lang w:val="fr-FR"/>
        </w:rPr>
        <w:t xml:space="preserve"> à désigner un expert </w:t>
      </w:r>
      <w:r w:rsidR="00FF7FCE" w:rsidRPr="00130C7A">
        <w:rPr>
          <w:lang w:val="fr-FR"/>
        </w:rPr>
        <w:t>pour le cas où ils auraient</w:t>
      </w:r>
      <w:r w:rsidR="00992966" w:rsidRPr="00130C7A">
        <w:rPr>
          <w:lang w:val="fr-FR"/>
        </w:rPr>
        <w:t xml:space="preserve"> souhait</w:t>
      </w:r>
      <w:r w:rsidR="00FF7FCE" w:rsidRPr="00130C7A">
        <w:rPr>
          <w:lang w:val="fr-FR"/>
        </w:rPr>
        <w:t>é</w:t>
      </w:r>
      <w:r w:rsidR="00992966" w:rsidRPr="00130C7A">
        <w:rPr>
          <w:lang w:val="fr-FR"/>
        </w:rPr>
        <w:t xml:space="preserve"> pouvoir prendre part </w:t>
      </w:r>
      <w:r w:rsidR="00CB051C" w:rsidRPr="00130C7A">
        <w:rPr>
          <w:lang w:val="fr-FR"/>
        </w:rPr>
        <w:t>à l</w:t>
      </w:r>
      <w:r w:rsidR="00130C7A" w:rsidRPr="00130C7A">
        <w:rPr>
          <w:lang w:val="fr-FR"/>
        </w:rPr>
        <w:t>’</w:t>
      </w:r>
      <w:r w:rsidR="00CB051C" w:rsidRPr="00130C7A">
        <w:rPr>
          <w:lang w:val="fr-FR"/>
        </w:rPr>
        <w:t>autopsie</w:t>
      </w:r>
      <w:r w:rsidR="00620464" w:rsidRPr="00130C7A">
        <w:rPr>
          <w:lang w:val="fr-FR"/>
        </w:rPr>
        <w:t>.</w:t>
      </w:r>
    </w:p>
    <w:p w:rsidR="00620464" w:rsidRPr="00130C7A" w:rsidRDefault="00AD1E4C"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12</w:t>
      </w:r>
      <w:r w:rsidRPr="00130C7A">
        <w:rPr>
          <w:lang w:val="fr-FR"/>
        </w:rPr>
        <w:fldChar w:fldCharType="end"/>
      </w:r>
      <w:r w:rsidRPr="00130C7A">
        <w:rPr>
          <w:lang w:val="fr-FR"/>
        </w:rPr>
        <w:t>.  </w:t>
      </w:r>
      <w:r w:rsidR="00363701" w:rsidRPr="00130C7A">
        <w:rPr>
          <w:lang w:val="fr-FR"/>
        </w:rPr>
        <w:t>Le 1</w:t>
      </w:r>
      <w:r w:rsidR="007C0BBA" w:rsidRPr="00130C7A">
        <w:rPr>
          <w:vertAlign w:val="superscript"/>
          <w:lang w:val="fr-FR"/>
        </w:rPr>
        <w:t>er</w:t>
      </w:r>
      <w:r w:rsidR="00363701" w:rsidRPr="00130C7A">
        <w:rPr>
          <w:lang w:val="fr-FR"/>
        </w:rPr>
        <w:t xml:space="preserve"> juin 2005, </w:t>
      </w:r>
      <w:r w:rsidR="00CB051C" w:rsidRPr="00130C7A">
        <w:rPr>
          <w:lang w:val="fr-FR"/>
        </w:rPr>
        <w:t>l</w:t>
      </w:r>
      <w:r w:rsidR="00130C7A" w:rsidRPr="00130C7A">
        <w:rPr>
          <w:lang w:val="fr-FR"/>
        </w:rPr>
        <w:t>’</w:t>
      </w:r>
      <w:r w:rsidR="007C0BBA" w:rsidRPr="00130C7A">
        <w:rPr>
          <w:lang w:val="fr-FR"/>
        </w:rPr>
        <w:t>autopsie</w:t>
      </w:r>
      <w:r w:rsidR="00525CFA" w:rsidRPr="00130C7A">
        <w:rPr>
          <w:lang w:val="fr-FR"/>
        </w:rPr>
        <w:t xml:space="preserve"> fut exécutée </w:t>
      </w:r>
      <w:r w:rsidR="005A6A1B" w:rsidRPr="00130C7A">
        <w:rPr>
          <w:lang w:val="fr-FR"/>
        </w:rPr>
        <w:t>en</w:t>
      </w:r>
      <w:r w:rsidR="00620464" w:rsidRPr="00130C7A">
        <w:rPr>
          <w:lang w:val="fr-FR"/>
        </w:rPr>
        <w:t xml:space="preserve"> la présence d</w:t>
      </w:r>
      <w:r w:rsidR="00130C7A" w:rsidRPr="00130C7A">
        <w:rPr>
          <w:lang w:val="fr-FR"/>
        </w:rPr>
        <w:t>’</w:t>
      </w:r>
      <w:r w:rsidR="00620464" w:rsidRPr="00130C7A">
        <w:rPr>
          <w:lang w:val="fr-FR"/>
        </w:rPr>
        <w:t xml:space="preserve">un expert </w:t>
      </w:r>
      <w:r w:rsidR="005A6A1B" w:rsidRPr="00130C7A">
        <w:rPr>
          <w:lang w:val="fr-FR"/>
        </w:rPr>
        <w:t>désigné</w:t>
      </w:r>
      <w:r w:rsidR="00620464" w:rsidRPr="00130C7A">
        <w:rPr>
          <w:lang w:val="fr-FR"/>
        </w:rPr>
        <w:t xml:space="preserve"> par le</w:t>
      </w:r>
      <w:r w:rsidR="00CB051C" w:rsidRPr="00130C7A">
        <w:rPr>
          <w:lang w:val="fr-FR"/>
        </w:rPr>
        <w:t>s</w:t>
      </w:r>
      <w:r w:rsidR="00620464" w:rsidRPr="00130C7A">
        <w:rPr>
          <w:lang w:val="fr-FR"/>
        </w:rPr>
        <w:t xml:space="preserve"> requérant</w:t>
      </w:r>
      <w:r w:rsidR="00CB051C" w:rsidRPr="00130C7A">
        <w:rPr>
          <w:lang w:val="fr-FR"/>
        </w:rPr>
        <w:t>s</w:t>
      </w:r>
      <w:r w:rsidR="00620464" w:rsidRPr="00130C7A">
        <w:rPr>
          <w:lang w:val="fr-FR"/>
        </w:rPr>
        <w:t>.</w:t>
      </w:r>
    </w:p>
    <w:p w:rsidR="00CF5176" w:rsidRPr="00130C7A" w:rsidRDefault="00E87800"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13</w:t>
      </w:r>
      <w:r w:rsidRPr="00130C7A">
        <w:rPr>
          <w:lang w:val="fr-FR"/>
        </w:rPr>
        <w:fldChar w:fldCharType="end"/>
      </w:r>
      <w:r w:rsidRPr="00130C7A">
        <w:rPr>
          <w:lang w:val="fr-FR"/>
        </w:rPr>
        <w:t>.  </w:t>
      </w:r>
      <w:r w:rsidR="0044083F" w:rsidRPr="00130C7A">
        <w:rPr>
          <w:lang w:val="fr-FR"/>
        </w:rPr>
        <w:t>L</w:t>
      </w:r>
      <w:r w:rsidR="00AD1E4C" w:rsidRPr="00130C7A">
        <w:rPr>
          <w:lang w:val="fr-FR"/>
        </w:rPr>
        <w:t xml:space="preserve">e </w:t>
      </w:r>
      <w:r w:rsidR="00851A29" w:rsidRPr="00130C7A">
        <w:rPr>
          <w:lang w:val="fr-FR"/>
        </w:rPr>
        <w:t>23 décembre 2005</w:t>
      </w:r>
      <w:r w:rsidR="0044083F" w:rsidRPr="00130C7A">
        <w:rPr>
          <w:lang w:val="fr-FR"/>
        </w:rPr>
        <w:t xml:space="preserve">, les experts déposèrent </w:t>
      </w:r>
      <w:r w:rsidR="00620464" w:rsidRPr="00130C7A">
        <w:rPr>
          <w:lang w:val="fr-FR"/>
        </w:rPr>
        <w:t>le</w:t>
      </w:r>
      <w:r w:rsidR="00C70C81" w:rsidRPr="00130C7A">
        <w:rPr>
          <w:lang w:val="fr-FR"/>
        </w:rPr>
        <w:t>ur</w:t>
      </w:r>
      <w:r w:rsidR="0044083F" w:rsidRPr="00130C7A">
        <w:rPr>
          <w:lang w:val="fr-FR"/>
        </w:rPr>
        <w:t xml:space="preserve"> rapport</w:t>
      </w:r>
      <w:r w:rsidR="00620464" w:rsidRPr="00130C7A">
        <w:rPr>
          <w:lang w:val="fr-FR"/>
        </w:rPr>
        <w:t xml:space="preserve"> d</w:t>
      </w:r>
      <w:r w:rsidR="00130C7A" w:rsidRPr="00130C7A">
        <w:rPr>
          <w:lang w:val="fr-FR"/>
        </w:rPr>
        <w:t>’</w:t>
      </w:r>
      <w:r w:rsidR="00620464" w:rsidRPr="00130C7A">
        <w:rPr>
          <w:lang w:val="fr-FR"/>
        </w:rPr>
        <w:t>expertise</w:t>
      </w:r>
      <w:r w:rsidR="00B94644" w:rsidRPr="00130C7A">
        <w:rPr>
          <w:lang w:val="fr-FR"/>
        </w:rPr>
        <w:t>,</w:t>
      </w:r>
      <w:r w:rsidR="00620464" w:rsidRPr="00130C7A">
        <w:rPr>
          <w:lang w:val="fr-FR"/>
        </w:rPr>
        <w:t xml:space="preserve"> </w:t>
      </w:r>
      <w:r w:rsidR="00C70C81" w:rsidRPr="00130C7A">
        <w:rPr>
          <w:lang w:val="fr-FR"/>
        </w:rPr>
        <w:t>selon lequel</w:t>
      </w:r>
      <w:r w:rsidR="00620464" w:rsidRPr="00130C7A">
        <w:rPr>
          <w:lang w:val="fr-FR"/>
        </w:rPr>
        <w:t xml:space="preserve"> le décès avait été causé par une insuffisance cardiorespiratoire aigu</w:t>
      </w:r>
      <w:r w:rsidR="00B94644" w:rsidRPr="00130C7A">
        <w:rPr>
          <w:lang w:val="fr-FR"/>
        </w:rPr>
        <w:t>ë</w:t>
      </w:r>
      <w:r w:rsidR="00851A29" w:rsidRPr="00130C7A">
        <w:rPr>
          <w:lang w:val="fr-FR"/>
        </w:rPr>
        <w:t xml:space="preserve">. </w:t>
      </w:r>
      <w:r w:rsidR="00380689" w:rsidRPr="00130C7A">
        <w:rPr>
          <w:lang w:val="fr-FR"/>
        </w:rPr>
        <w:t>Ayant relevé que certaines blessures au niveau du front et de la main gauche de A. étaient compatibles avec une électrocution, ils</w:t>
      </w:r>
      <w:r w:rsidR="009F3399" w:rsidRPr="00130C7A">
        <w:rPr>
          <w:lang w:val="fr-FR"/>
        </w:rPr>
        <w:t xml:space="preserve"> indiquaient</w:t>
      </w:r>
      <w:r w:rsidR="00380689" w:rsidRPr="00130C7A">
        <w:rPr>
          <w:lang w:val="fr-FR"/>
        </w:rPr>
        <w:t>, dans leur rapport,</w:t>
      </w:r>
      <w:r w:rsidR="009F3399" w:rsidRPr="00130C7A">
        <w:rPr>
          <w:lang w:val="fr-FR"/>
        </w:rPr>
        <w:t xml:space="preserve"> que</w:t>
      </w:r>
      <w:r w:rsidR="00FE1F59" w:rsidRPr="00130C7A" w:rsidDel="00B94644">
        <w:rPr>
          <w:lang w:val="fr-FR"/>
        </w:rPr>
        <w:t xml:space="preserve"> </w:t>
      </w:r>
      <w:r w:rsidR="00221BEE" w:rsidRPr="00130C7A">
        <w:rPr>
          <w:lang w:val="fr-FR"/>
        </w:rPr>
        <w:t>l</w:t>
      </w:r>
      <w:r w:rsidR="00130C7A" w:rsidRPr="00130C7A">
        <w:rPr>
          <w:lang w:val="fr-FR"/>
        </w:rPr>
        <w:t>’</w:t>
      </w:r>
      <w:r w:rsidR="00221BEE" w:rsidRPr="00130C7A">
        <w:rPr>
          <w:lang w:val="fr-FR"/>
        </w:rPr>
        <w:t xml:space="preserve">insuffisance cardiorespiratoire </w:t>
      </w:r>
      <w:r w:rsidR="00A8206D" w:rsidRPr="00130C7A">
        <w:rPr>
          <w:lang w:val="fr-FR"/>
        </w:rPr>
        <w:t>à l</w:t>
      </w:r>
      <w:r w:rsidR="00130C7A" w:rsidRPr="00130C7A">
        <w:rPr>
          <w:lang w:val="fr-FR"/>
        </w:rPr>
        <w:t>’</w:t>
      </w:r>
      <w:r w:rsidR="00A8206D" w:rsidRPr="00130C7A">
        <w:rPr>
          <w:lang w:val="fr-FR"/>
        </w:rPr>
        <w:t>origine du</w:t>
      </w:r>
      <w:r w:rsidR="00517E35" w:rsidRPr="00130C7A">
        <w:rPr>
          <w:lang w:val="fr-FR"/>
        </w:rPr>
        <w:t xml:space="preserve"> décès</w:t>
      </w:r>
      <w:r w:rsidR="00221BEE" w:rsidRPr="00130C7A">
        <w:rPr>
          <w:lang w:val="fr-FR"/>
        </w:rPr>
        <w:t xml:space="preserve"> </w:t>
      </w:r>
      <w:r w:rsidR="00A8206D" w:rsidRPr="00130C7A">
        <w:rPr>
          <w:lang w:val="fr-FR"/>
        </w:rPr>
        <w:t>avait été</w:t>
      </w:r>
      <w:r w:rsidR="00AD3B74" w:rsidRPr="00130C7A">
        <w:rPr>
          <w:lang w:val="fr-FR"/>
        </w:rPr>
        <w:t xml:space="preserve"> </w:t>
      </w:r>
      <w:r w:rsidR="00A8206D" w:rsidRPr="00130C7A">
        <w:rPr>
          <w:lang w:val="fr-FR"/>
        </w:rPr>
        <w:t xml:space="preserve">provoquée par </w:t>
      </w:r>
      <w:r w:rsidR="00146E7A" w:rsidRPr="00130C7A">
        <w:rPr>
          <w:lang w:val="fr-FR"/>
        </w:rPr>
        <w:t>l</w:t>
      </w:r>
      <w:r w:rsidR="00130C7A" w:rsidRPr="00130C7A">
        <w:rPr>
          <w:lang w:val="fr-FR"/>
        </w:rPr>
        <w:t>’</w:t>
      </w:r>
      <w:r w:rsidR="00146E7A" w:rsidRPr="00130C7A">
        <w:rPr>
          <w:lang w:val="fr-FR"/>
        </w:rPr>
        <w:t>action de l</w:t>
      </w:r>
      <w:r w:rsidR="00130C7A" w:rsidRPr="00130C7A">
        <w:rPr>
          <w:lang w:val="fr-FR"/>
        </w:rPr>
        <w:t>’</w:t>
      </w:r>
      <w:r w:rsidR="00146E7A" w:rsidRPr="00130C7A">
        <w:rPr>
          <w:lang w:val="fr-FR"/>
        </w:rPr>
        <w:t>énergie électrique</w:t>
      </w:r>
      <w:r w:rsidR="00DB1D68" w:rsidRPr="00130C7A">
        <w:rPr>
          <w:lang w:val="fr-FR"/>
        </w:rPr>
        <w:t>.</w:t>
      </w:r>
      <w:r w:rsidR="001E18AA" w:rsidRPr="00130C7A">
        <w:rPr>
          <w:lang w:val="fr-FR"/>
        </w:rPr>
        <w:t xml:space="preserve"> </w:t>
      </w:r>
      <w:r w:rsidR="00380689" w:rsidRPr="00130C7A">
        <w:rPr>
          <w:lang w:val="fr-FR"/>
        </w:rPr>
        <w:t xml:space="preserve">Ils précisaient que </w:t>
      </w:r>
      <w:r w:rsidR="00146E7A" w:rsidRPr="00130C7A">
        <w:rPr>
          <w:lang w:val="fr-FR"/>
        </w:rPr>
        <w:t>l</w:t>
      </w:r>
      <w:r w:rsidR="00130C7A" w:rsidRPr="00130C7A">
        <w:rPr>
          <w:lang w:val="fr-FR"/>
        </w:rPr>
        <w:t>’</w:t>
      </w:r>
      <w:r w:rsidR="00146E7A" w:rsidRPr="00130C7A">
        <w:rPr>
          <w:lang w:val="fr-FR"/>
        </w:rPr>
        <w:t xml:space="preserve">électrocution </w:t>
      </w:r>
      <w:r w:rsidR="00C70C81" w:rsidRPr="00130C7A">
        <w:rPr>
          <w:lang w:val="fr-FR"/>
        </w:rPr>
        <w:t>pouvait avoir été</w:t>
      </w:r>
      <w:r w:rsidR="00146E7A" w:rsidRPr="00130C7A">
        <w:rPr>
          <w:lang w:val="fr-FR"/>
        </w:rPr>
        <w:t xml:space="preserve"> </w:t>
      </w:r>
      <w:r w:rsidRPr="00130C7A">
        <w:rPr>
          <w:lang w:val="fr-FR"/>
        </w:rPr>
        <w:t>provoquée</w:t>
      </w:r>
      <w:r w:rsidR="00146E7A" w:rsidRPr="00130C7A">
        <w:rPr>
          <w:lang w:val="fr-FR"/>
        </w:rPr>
        <w:t xml:space="preserve"> par un tiers</w:t>
      </w:r>
      <w:r w:rsidR="001A7D11" w:rsidRPr="00130C7A">
        <w:rPr>
          <w:lang w:val="fr-FR"/>
        </w:rPr>
        <w:t xml:space="preserve"> à l</w:t>
      </w:r>
      <w:r w:rsidR="00130C7A" w:rsidRPr="00130C7A">
        <w:rPr>
          <w:lang w:val="fr-FR"/>
        </w:rPr>
        <w:t>’</w:t>
      </w:r>
      <w:r w:rsidR="001A7D11" w:rsidRPr="00130C7A">
        <w:rPr>
          <w:lang w:val="fr-FR"/>
        </w:rPr>
        <w:t>aide d</w:t>
      </w:r>
      <w:r w:rsidR="00130C7A" w:rsidRPr="00130C7A">
        <w:rPr>
          <w:lang w:val="fr-FR"/>
        </w:rPr>
        <w:t>’</w:t>
      </w:r>
      <w:r w:rsidR="001A7D11" w:rsidRPr="00130C7A">
        <w:rPr>
          <w:lang w:val="fr-FR"/>
        </w:rPr>
        <w:t xml:space="preserve">un </w:t>
      </w:r>
      <w:r w:rsidR="00FE1F59" w:rsidRPr="00130C7A">
        <w:rPr>
          <w:lang w:val="fr-FR"/>
        </w:rPr>
        <w:t>appareil</w:t>
      </w:r>
      <w:r w:rsidR="00871675" w:rsidRPr="00130C7A">
        <w:rPr>
          <w:lang w:val="fr-FR"/>
        </w:rPr>
        <w:t xml:space="preserve"> de dissuasion</w:t>
      </w:r>
      <w:r w:rsidR="001A7D11" w:rsidRPr="00130C7A">
        <w:rPr>
          <w:lang w:val="fr-FR"/>
        </w:rPr>
        <w:t xml:space="preserve"> à impulsion électrique</w:t>
      </w:r>
      <w:r w:rsidR="00146E7A" w:rsidRPr="00130C7A">
        <w:rPr>
          <w:lang w:val="fr-FR"/>
        </w:rPr>
        <w:t xml:space="preserve">. </w:t>
      </w:r>
      <w:r w:rsidR="00317362" w:rsidRPr="00130C7A">
        <w:rPr>
          <w:lang w:val="fr-FR"/>
        </w:rPr>
        <w:t>Par ailleurs</w:t>
      </w:r>
      <w:r w:rsidR="00DB1D68" w:rsidRPr="00130C7A">
        <w:rPr>
          <w:lang w:val="fr-FR"/>
        </w:rPr>
        <w:t xml:space="preserve">, </w:t>
      </w:r>
      <w:r w:rsidR="00380689" w:rsidRPr="00130C7A">
        <w:rPr>
          <w:lang w:val="fr-FR"/>
        </w:rPr>
        <w:t>ils ajoutaient que</w:t>
      </w:r>
      <w:r w:rsidR="00FE1F59" w:rsidRPr="00130C7A">
        <w:rPr>
          <w:lang w:val="fr-FR"/>
        </w:rPr>
        <w:t xml:space="preserve">, </w:t>
      </w:r>
      <w:r w:rsidR="0094376E" w:rsidRPr="00130C7A">
        <w:rPr>
          <w:lang w:val="fr-FR"/>
        </w:rPr>
        <w:t>eu égard aux</w:t>
      </w:r>
      <w:r w:rsidR="004124E1" w:rsidRPr="00130C7A">
        <w:rPr>
          <w:lang w:val="fr-FR"/>
        </w:rPr>
        <w:t xml:space="preserve"> informations concernant le profil et le comportement de la victime, </w:t>
      </w:r>
      <w:r w:rsidR="00DB1D68" w:rsidRPr="00130C7A">
        <w:rPr>
          <w:lang w:val="fr-FR"/>
        </w:rPr>
        <w:t xml:space="preserve">il ne pouvait </w:t>
      </w:r>
      <w:r w:rsidR="00317362" w:rsidRPr="00130C7A">
        <w:rPr>
          <w:lang w:val="fr-FR"/>
        </w:rPr>
        <w:t xml:space="preserve">pas </w:t>
      </w:r>
      <w:r w:rsidR="00DB1D68" w:rsidRPr="00130C7A">
        <w:rPr>
          <w:lang w:val="fr-FR"/>
        </w:rPr>
        <w:t>être exclu</w:t>
      </w:r>
      <w:r w:rsidRPr="00130C7A">
        <w:rPr>
          <w:lang w:val="fr-FR"/>
        </w:rPr>
        <w:t xml:space="preserve"> </w:t>
      </w:r>
      <w:r w:rsidR="004124E1" w:rsidRPr="00130C7A">
        <w:rPr>
          <w:lang w:val="fr-FR"/>
        </w:rPr>
        <w:t>que celle-ci</w:t>
      </w:r>
      <w:r w:rsidR="00DB1D68" w:rsidRPr="00130C7A">
        <w:rPr>
          <w:lang w:val="fr-FR"/>
        </w:rPr>
        <w:t xml:space="preserve"> </w:t>
      </w:r>
      <w:r w:rsidR="00FE1F59" w:rsidRPr="00130C7A">
        <w:rPr>
          <w:lang w:val="fr-FR"/>
        </w:rPr>
        <w:t>eût</w:t>
      </w:r>
      <w:r w:rsidR="00DB1D68" w:rsidRPr="00130C7A">
        <w:rPr>
          <w:lang w:val="fr-FR"/>
        </w:rPr>
        <w:t xml:space="preserve"> </w:t>
      </w:r>
      <w:r w:rsidR="00146E7A" w:rsidRPr="00130C7A">
        <w:rPr>
          <w:lang w:val="fr-FR"/>
        </w:rPr>
        <w:t xml:space="preserve">volontairement </w:t>
      </w:r>
      <w:r w:rsidR="00DB1D68" w:rsidRPr="00130C7A">
        <w:rPr>
          <w:lang w:val="fr-FR"/>
        </w:rPr>
        <w:t xml:space="preserve">inhalé </w:t>
      </w:r>
      <w:r w:rsidR="00942BC4" w:rsidRPr="00130C7A">
        <w:rPr>
          <w:lang w:val="fr-FR"/>
        </w:rPr>
        <w:t>une substance gazeuse</w:t>
      </w:r>
      <w:r w:rsidR="00DB1D68" w:rsidRPr="00130C7A">
        <w:rPr>
          <w:lang w:val="fr-FR"/>
        </w:rPr>
        <w:t xml:space="preserve"> </w:t>
      </w:r>
      <w:r w:rsidR="004124E1" w:rsidRPr="00130C7A">
        <w:rPr>
          <w:lang w:val="fr-FR"/>
        </w:rPr>
        <w:t>ayant entraîné le décès</w:t>
      </w:r>
      <w:r w:rsidR="00221BEE" w:rsidRPr="00130C7A">
        <w:rPr>
          <w:lang w:val="fr-FR"/>
        </w:rPr>
        <w:t xml:space="preserve">, </w:t>
      </w:r>
      <w:r w:rsidR="00FE1F59" w:rsidRPr="00130C7A">
        <w:rPr>
          <w:lang w:val="fr-FR"/>
        </w:rPr>
        <w:t>même si</w:t>
      </w:r>
      <w:r w:rsidR="00221BEE" w:rsidRPr="00130C7A">
        <w:rPr>
          <w:lang w:val="fr-FR"/>
        </w:rPr>
        <w:t xml:space="preserve"> les </w:t>
      </w:r>
      <w:r w:rsidR="00AB1503" w:rsidRPr="00130C7A">
        <w:rPr>
          <w:lang w:val="fr-FR"/>
        </w:rPr>
        <w:t>bilans</w:t>
      </w:r>
      <w:r w:rsidR="00221BEE" w:rsidRPr="00130C7A">
        <w:rPr>
          <w:lang w:val="fr-FR"/>
        </w:rPr>
        <w:t xml:space="preserve"> sanguins </w:t>
      </w:r>
      <w:r w:rsidR="00C70C81" w:rsidRPr="00130C7A">
        <w:rPr>
          <w:lang w:val="fr-FR"/>
        </w:rPr>
        <w:t xml:space="preserve">effectués </w:t>
      </w:r>
      <w:r w:rsidR="007A3C1C" w:rsidRPr="00130C7A">
        <w:rPr>
          <w:lang w:val="fr-FR"/>
        </w:rPr>
        <w:t>n</w:t>
      </w:r>
      <w:r w:rsidR="00130C7A" w:rsidRPr="00130C7A">
        <w:rPr>
          <w:lang w:val="fr-FR"/>
        </w:rPr>
        <w:t>’</w:t>
      </w:r>
      <w:r w:rsidR="000D7CE1" w:rsidRPr="00130C7A">
        <w:rPr>
          <w:lang w:val="fr-FR"/>
        </w:rPr>
        <w:t>avaient pas permis d</w:t>
      </w:r>
      <w:r w:rsidR="00130C7A" w:rsidRPr="00130C7A">
        <w:rPr>
          <w:lang w:val="fr-FR"/>
        </w:rPr>
        <w:t>’</w:t>
      </w:r>
      <w:r w:rsidR="007A3C1C" w:rsidRPr="00130C7A">
        <w:rPr>
          <w:lang w:val="fr-FR"/>
        </w:rPr>
        <w:t>établir avec certitude</w:t>
      </w:r>
      <w:r w:rsidR="000D7CE1" w:rsidRPr="00130C7A">
        <w:rPr>
          <w:lang w:val="fr-FR"/>
        </w:rPr>
        <w:t xml:space="preserve"> une telle </w:t>
      </w:r>
      <w:r w:rsidR="00FE1F59" w:rsidRPr="00130C7A">
        <w:rPr>
          <w:lang w:val="fr-FR"/>
        </w:rPr>
        <w:t>circonstance</w:t>
      </w:r>
      <w:r w:rsidR="007A3C1C" w:rsidRPr="00130C7A">
        <w:rPr>
          <w:lang w:val="fr-FR"/>
        </w:rPr>
        <w:t>.</w:t>
      </w:r>
    </w:p>
    <w:p w:rsidR="001D7D5A" w:rsidRPr="00130C7A" w:rsidRDefault="009F314A"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14</w:t>
      </w:r>
      <w:r w:rsidRPr="00130C7A">
        <w:rPr>
          <w:lang w:val="fr-FR"/>
        </w:rPr>
        <w:fldChar w:fldCharType="end"/>
      </w:r>
      <w:r w:rsidRPr="00130C7A">
        <w:rPr>
          <w:lang w:val="fr-FR"/>
        </w:rPr>
        <w:t>.  </w:t>
      </w:r>
      <w:r w:rsidR="00FB577D" w:rsidRPr="00130C7A">
        <w:rPr>
          <w:lang w:val="fr-FR"/>
        </w:rPr>
        <w:t>Le 28</w:t>
      </w:r>
      <w:r w:rsidR="00CF5176" w:rsidRPr="00130C7A">
        <w:rPr>
          <w:lang w:val="fr-FR"/>
        </w:rPr>
        <w:t xml:space="preserve"> décembre 2005, </w:t>
      </w:r>
      <w:r w:rsidR="008D6648" w:rsidRPr="00130C7A">
        <w:rPr>
          <w:lang w:val="fr-FR"/>
        </w:rPr>
        <w:t>le juge des in</w:t>
      </w:r>
      <w:r w:rsidR="00517717" w:rsidRPr="00130C7A">
        <w:rPr>
          <w:lang w:val="fr-FR"/>
        </w:rPr>
        <w:t>vestigations préliminaires</w:t>
      </w:r>
      <w:r w:rsidR="00FB577D" w:rsidRPr="00130C7A">
        <w:rPr>
          <w:lang w:val="fr-FR"/>
        </w:rPr>
        <w:t>, compte tenu des conclusions de l</w:t>
      </w:r>
      <w:r w:rsidR="00130C7A" w:rsidRPr="00130C7A">
        <w:rPr>
          <w:lang w:val="fr-FR"/>
        </w:rPr>
        <w:t>’</w:t>
      </w:r>
      <w:r w:rsidR="00FB577D" w:rsidRPr="00130C7A">
        <w:rPr>
          <w:lang w:val="fr-FR"/>
        </w:rPr>
        <w:t>expertise,</w:t>
      </w:r>
      <w:r w:rsidR="00517717" w:rsidRPr="00130C7A">
        <w:rPr>
          <w:lang w:val="fr-FR"/>
        </w:rPr>
        <w:t xml:space="preserve"> ouvrit</w:t>
      </w:r>
      <w:r w:rsidR="008D6648" w:rsidRPr="00130C7A">
        <w:rPr>
          <w:lang w:val="fr-FR"/>
        </w:rPr>
        <w:t xml:space="preserve"> </w:t>
      </w:r>
      <w:r w:rsidR="00CF5176" w:rsidRPr="00130C7A">
        <w:rPr>
          <w:lang w:val="fr-FR"/>
        </w:rPr>
        <w:t xml:space="preserve">une procédure pénale </w:t>
      </w:r>
      <w:r w:rsidR="00942BC4" w:rsidRPr="00130C7A">
        <w:rPr>
          <w:lang w:val="fr-FR"/>
        </w:rPr>
        <w:t xml:space="preserve">contre </w:t>
      </w:r>
      <w:r w:rsidR="006D1F0E" w:rsidRPr="00130C7A">
        <w:rPr>
          <w:lang w:val="fr-FR"/>
        </w:rPr>
        <w:t>X</w:t>
      </w:r>
      <w:r w:rsidR="006F2733" w:rsidRPr="00130C7A">
        <w:rPr>
          <w:lang w:val="fr-FR"/>
        </w:rPr>
        <w:t xml:space="preserve"> pour </w:t>
      </w:r>
      <w:r w:rsidR="00317362" w:rsidRPr="00130C7A">
        <w:rPr>
          <w:lang w:val="fr-FR"/>
        </w:rPr>
        <w:t>mort</w:t>
      </w:r>
      <w:r w:rsidR="009C300A" w:rsidRPr="00130C7A">
        <w:rPr>
          <w:lang w:val="fr-FR"/>
        </w:rPr>
        <w:t xml:space="preserve"> </w:t>
      </w:r>
      <w:r w:rsidR="00380689" w:rsidRPr="00130C7A">
        <w:rPr>
          <w:lang w:val="fr-FR"/>
        </w:rPr>
        <w:t>résultant de</w:t>
      </w:r>
      <w:r w:rsidR="009C300A" w:rsidRPr="00130C7A">
        <w:rPr>
          <w:lang w:val="fr-FR"/>
        </w:rPr>
        <w:t xml:space="preserve"> l</w:t>
      </w:r>
      <w:r w:rsidR="00E2796A" w:rsidRPr="00130C7A">
        <w:rPr>
          <w:lang w:val="fr-FR"/>
        </w:rPr>
        <w:t>a commission d</w:t>
      </w:r>
      <w:r w:rsidR="00130C7A" w:rsidRPr="00130C7A">
        <w:rPr>
          <w:lang w:val="fr-FR"/>
        </w:rPr>
        <w:t>’</w:t>
      </w:r>
      <w:r w:rsidR="006F2733" w:rsidRPr="00130C7A">
        <w:rPr>
          <w:lang w:val="fr-FR"/>
        </w:rPr>
        <w:t xml:space="preserve">un autre délit </w:t>
      </w:r>
      <w:r w:rsidR="004936CE" w:rsidRPr="00130C7A">
        <w:rPr>
          <w:lang w:val="fr-FR"/>
        </w:rPr>
        <w:t>(</w:t>
      </w:r>
      <w:r w:rsidR="00517E35" w:rsidRPr="00130C7A">
        <w:rPr>
          <w:lang w:val="fr-FR"/>
        </w:rPr>
        <w:t>« </w:t>
      </w:r>
      <w:r w:rsidR="004936CE" w:rsidRPr="00130C7A">
        <w:rPr>
          <w:i/>
          <w:lang w:val="fr-FR"/>
        </w:rPr>
        <w:t xml:space="preserve">morte come </w:t>
      </w:r>
      <w:proofErr w:type="spellStart"/>
      <w:r w:rsidR="004936CE" w:rsidRPr="00130C7A">
        <w:rPr>
          <w:i/>
          <w:lang w:val="fr-FR"/>
        </w:rPr>
        <w:t>conseguenza</w:t>
      </w:r>
      <w:proofErr w:type="spellEnd"/>
      <w:r w:rsidR="004936CE" w:rsidRPr="00130C7A">
        <w:rPr>
          <w:i/>
          <w:lang w:val="fr-FR"/>
        </w:rPr>
        <w:t xml:space="preserve"> di un </w:t>
      </w:r>
      <w:proofErr w:type="spellStart"/>
      <w:r w:rsidR="004936CE" w:rsidRPr="00130C7A">
        <w:rPr>
          <w:i/>
          <w:lang w:val="fr-FR"/>
        </w:rPr>
        <w:t>altro</w:t>
      </w:r>
      <w:proofErr w:type="spellEnd"/>
      <w:r w:rsidR="004936CE" w:rsidRPr="00130C7A">
        <w:rPr>
          <w:i/>
          <w:lang w:val="fr-FR"/>
        </w:rPr>
        <w:t xml:space="preserve"> </w:t>
      </w:r>
      <w:proofErr w:type="spellStart"/>
      <w:r w:rsidR="004936CE" w:rsidRPr="00130C7A">
        <w:rPr>
          <w:i/>
          <w:lang w:val="fr-FR"/>
        </w:rPr>
        <w:t>delitto</w:t>
      </w:r>
      <w:proofErr w:type="spellEnd"/>
      <w:r w:rsidR="00517E35" w:rsidRPr="00130C7A">
        <w:rPr>
          <w:i/>
          <w:lang w:val="fr-FR"/>
        </w:rPr>
        <w:t> »</w:t>
      </w:r>
      <w:r w:rsidR="004936CE" w:rsidRPr="00130C7A">
        <w:rPr>
          <w:lang w:val="fr-FR"/>
        </w:rPr>
        <w:t>)</w:t>
      </w:r>
      <w:r w:rsidR="006D1F0E" w:rsidRPr="00130C7A">
        <w:rPr>
          <w:lang w:val="fr-FR"/>
        </w:rPr>
        <w:t xml:space="preserve"> </w:t>
      </w:r>
      <w:r w:rsidR="002908F2" w:rsidRPr="00130C7A">
        <w:rPr>
          <w:lang w:val="fr-FR"/>
        </w:rPr>
        <w:t xml:space="preserve">au sens </w:t>
      </w:r>
      <w:r w:rsidR="00C303A1" w:rsidRPr="00130C7A">
        <w:rPr>
          <w:lang w:val="fr-FR"/>
        </w:rPr>
        <w:t>de l</w:t>
      </w:r>
      <w:r w:rsidR="00130C7A" w:rsidRPr="00130C7A">
        <w:rPr>
          <w:lang w:val="fr-FR"/>
        </w:rPr>
        <w:t>’</w:t>
      </w:r>
      <w:r w:rsidR="00C303A1" w:rsidRPr="00130C7A">
        <w:rPr>
          <w:lang w:val="fr-FR"/>
        </w:rPr>
        <w:t xml:space="preserve">article 586 du code pénal. </w:t>
      </w:r>
      <w:r w:rsidR="00E35635" w:rsidRPr="00130C7A">
        <w:rPr>
          <w:lang w:val="fr-FR"/>
        </w:rPr>
        <w:t xml:space="preserve">Les requérants ainsi que </w:t>
      </w:r>
      <w:r w:rsidR="00D35851" w:rsidRPr="00130C7A">
        <w:rPr>
          <w:lang w:val="fr-FR"/>
        </w:rPr>
        <w:t>d</w:t>
      </w:r>
      <w:r w:rsidR="00130C7A" w:rsidRPr="00130C7A">
        <w:rPr>
          <w:lang w:val="fr-FR"/>
        </w:rPr>
        <w:t>’</w:t>
      </w:r>
      <w:r w:rsidR="00D35851" w:rsidRPr="00130C7A">
        <w:rPr>
          <w:lang w:val="fr-FR"/>
        </w:rPr>
        <w:t xml:space="preserve">autres membres de la famille </w:t>
      </w:r>
      <w:r w:rsidR="004936CE" w:rsidRPr="00130C7A">
        <w:rPr>
          <w:lang w:val="fr-FR"/>
        </w:rPr>
        <w:t>de la victime</w:t>
      </w:r>
      <w:r w:rsidR="009370F2" w:rsidRPr="00130C7A">
        <w:rPr>
          <w:lang w:val="fr-FR"/>
        </w:rPr>
        <w:t xml:space="preserve"> furent </w:t>
      </w:r>
      <w:r w:rsidR="00D65322" w:rsidRPr="00130C7A">
        <w:rPr>
          <w:lang w:val="fr-FR"/>
        </w:rPr>
        <w:t>invités à participer à</w:t>
      </w:r>
      <w:r w:rsidR="00D35851" w:rsidRPr="00130C7A">
        <w:rPr>
          <w:lang w:val="fr-FR"/>
        </w:rPr>
        <w:t xml:space="preserve"> la procédure en tant que parties </w:t>
      </w:r>
      <w:r w:rsidR="009370F2" w:rsidRPr="00130C7A">
        <w:rPr>
          <w:lang w:val="fr-FR"/>
        </w:rPr>
        <w:t>lésées</w:t>
      </w:r>
      <w:r w:rsidR="00D35851" w:rsidRPr="00130C7A">
        <w:rPr>
          <w:lang w:val="fr-FR"/>
        </w:rPr>
        <w:t>.</w:t>
      </w:r>
    </w:p>
    <w:p w:rsidR="00CB051C" w:rsidRPr="00130C7A" w:rsidRDefault="002E5711"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15</w:t>
      </w:r>
      <w:r w:rsidRPr="00130C7A">
        <w:rPr>
          <w:lang w:val="fr-FR"/>
        </w:rPr>
        <w:fldChar w:fldCharType="end"/>
      </w:r>
      <w:r w:rsidRPr="00130C7A">
        <w:rPr>
          <w:lang w:val="fr-FR"/>
        </w:rPr>
        <w:t>.  </w:t>
      </w:r>
      <w:r w:rsidR="00CB051C" w:rsidRPr="00130C7A">
        <w:rPr>
          <w:lang w:val="fr-FR"/>
        </w:rPr>
        <w:t xml:space="preserve">Le 11 mars 2006, les requérants </w:t>
      </w:r>
      <w:r w:rsidR="002F4D52" w:rsidRPr="00130C7A">
        <w:rPr>
          <w:lang w:val="fr-FR"/>
        </w:rPr>
        <w:t>déposèrent</w:t>
      </w:r>
      <w:r w:rsidR="00CB051C" w:rsidRPr="00130C7A">
        <w:rPr>
          <w:lang w:val="fr-FR"/>
        </w:rPr>
        <w:t xml:space="preserve"> </w:t>
      </w:r>
      <w:r w:rsidR="002F4D52" w:rsidRPr="00130C7A">
        <w:rPr>
          <w:lang w:val="fr-FR"/>
        </w:rPr>
        <w:t xml:space="preserve">devant le parquet un mémoire </w:t>
      </w:r>
      <w:r w:rsidR="009C300A" w:rsidRPr="00130C7A">
        <w:rPr>
          <w:lang w:val="fr-FR"/>
        </w:rPr>
        <w:t>par lequel ils soutenaient</w:t>
      </w:r>
      <w:r w:rsidR="002F4D52" w:rsidRPr="00130C7A">
        <w:rPr>
          <w:lang w:val="fr-FR"/>
        </w:rPr>
        <w:t xml:space="preserve"> qu</w:t>
      </w:r>
      <w:r w:rsidR="005945AB" w:rsidRPr="00130C7A">
        <w:rPr>
          <w:lang w:val="fr-FR"/>
        </w:rPr>
        <w:t xml:space="preserve">e </w:t>
      </w:r>
      <w:r w:rsidR="002F4D52" w:rsidRPr="00130C7A">
        <w:rPr>
          <w:lang w:val="fr-FR"/>
        </w:rPr>
        <w:t xml:space="preserve">A. était décédé </w:t>
      </w:r>
      <w:r w:rsidR="00317362" w:rsidRPr="00130C7A">
        <w:rPr>
          <w:lang w:val="fr-FR"/>
        </w:rPr>
        <w:t xml:space="preserve">des </w:t>
      </w:r>
      <w:r w:rsidR="002F4D52" w:rsidRPr="00130C7A">
        <w:rPr>
          <w:lang w:val="fr-FR"/>
        </w:rPr>
        <w:t>suite</w:t>
      </w:r>
      <w:r w:rsidR="00317362" w:rsidRPr="00130C7A">
        <w:rPr>
          <w:lang w:val="fr-FR"/>
        </w:rPr>
        <w:t>s de</w:t>
      </w:r>
      <w:r w:rsidR="002F4D52" w:rsidRPr="00130C7A">
        <w:rPr>
          <w:lang w:val="fr-FR"/>
        </w:rPr>
        <w:t xml:space="preserve"> l</w:t>
      </w:r>
      <w:r w:rsidR="00130C7A" w:rsidRPr="00130C7A">
        <w:rPr>
          <w:lang w:val="fr-FR"/>
        </w:rPr>
        <w:t>’</w:t>
      </w:r>
      <w:r w:rsidR="002F4D52" w:rsidRPr="00130C7A">
        <w:rPr>
          <w:lang w:val="fr-FR"/>
        </w:rPr>
        <w:t xml:space="preserve">action </w:t>
      </w:r>
      <w:r w:rsidR="009C300A" w:rsidRPr="00130C7A">
        <w:rPr>
          <w:lang w:val="fr-FR"/>
        </w:rPr>
        <w:t>d</w:t>
      </w:r>
      <w:r w:rsidR="006D1F0E" w:rsidRPr="00130C7A">
        <w:rPr>
          <w:lang w:val="fr-FR"/>
        </w:rPr>
        <w:t>e l</w:t>
      </w:r>
      <w:r w:rsidR="00130C7A" w:rsidRPr="00130C7A">
        <w:rPr>
          <w:lang w:val="fr-FR"/>
        </w:rPr>
        <w:t>’</w:t>
      </w:r>
      <w:r w:rsidR="002F4D52" w:rsidRPr="00130C7A">
        <w:rPr>
          <w:lang w:val="fr-FR"/>
        </w:rPr>
        <w:t xml:space="preserve">un </w:t>
      </w:r>
      <w:r w:rsidR="009C300A" w:rsidRPr="00130C7A">
        <w:rPr>
          <w:lang w:val="fr-FR"/>
        </w:rPr>
        <w:t xml:space="preserve">des </w:t>
      </w:r>
      <w:r w:rsidR="002F4D52" w:rsidRPr="00130C7A">
        <w:rPr>
          <w:lang w:val="fr-FR"/>
        </w:rPr>
        <w:t>agent</w:t>
      </w:r>
      <w:r w:rsidR="009C300A" w:rsidRPr="00130C7A">
        <w:rPr>
          <w:lang w:val="fr-FR"/>
        </w:rPr>
        <w:t>s</w:t>
      </w:r>
      <w:r w:rsidR="002F4D52" w:rsidRPr="00130C7A">
        <w:rPr>
          <w:lang w:val="fr-FR"/>
        </w:rPr>
        <w:t xml:space="preserve"> pénitentiaire</w:t>
      </w:r>
      <w:r w:rsidR="009C300A" w:rsidRPr="00130C7A">
        <w:rPr>
          <w:lang w:val="fr-FR"/>
        </w:rPr>
        <w:t>s en charge de sa surveillance</w:t>
      </w:r>
      <w:r w:rsidR="002F4D52" w:rsidRPr="00130C7A">
        <w:rPr>
          <w:lang w:val="fr-FR"/>
        </w:rPr>
        <w:t>.</w:t>
      </w:r>
    </w:p>
    <w:p w:rsidR="001E18AA" w:rsidRPr="00130C7A" w:rsidRDefault="009370F2"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16</w:t>
      </w:r>
      <w:r w:rsidRPr="00130C7A">
        <w:rPr>
          <w:lang w:val="fr-FR"/>
        </w:rPr>
        <w:fldChar w:fldCharType="end"/>
      </w:r>
      <w:r w:rsidRPr="00130C7A">
        <w:rPr>
          <w:lang w:val="fr-FR"/>
        </w:rPr>
        <w:t>.  </w:t>
      </w:r>
      <w:r w:rsidR="00B05B56" w:rsidRPr="00130C7A">
        <w:rPr>
          <w:lang w:val="fr-FR"/>
        </w:rPr>
        <w:t>Le 11 mai 2006, le parquet auditionna S.R.</w:t>
      </w:r>
      <w:r w:rsidR="00197E0C" w:rsidRPr="00130C7A">
        <w:rPr>
          <w:lang w:val="fr-FR"/>
        </w:rPr>
        <w:t xml:space="preserve"> Ce dernier affirma avoir fourni à la victime une nouvelle cartouche de gaz quelques minutes avant le décès.</w:t>
      </w:r>
      <w:r w:rsidR="000E2B64" w:rsidRPr="00130C7A">
        <w:rPr>
          <w:lang w:val="fr-FR"/>
        </w:rPr>
        <w:t xml:space="preserve"> Il ajouta avoir prévenu A. des risques d</w:t>
      </w:r>
      <w:r w:rsidR="00130C7A" w:rsidRPr="00130C7A">
        <w:rPr>
          <w:lang w:val="fr-FR"/>
        </w:rPr>
        <w:t>’</w:t>
      </w:r>
      <w:r w:rsidR="000E2B64" w:rsidRPr="00130C7A">
        <w:rPr>
          <w:lang w:val="fr-FR"/>
        </w:rPr>
        <w:t>intoxication</w:t>
      </w:r>
      <w:r w:rsidR="007246BC" w:rsidRPr="00130C7A">
        <w:rPr>
          <w:lang w:val="fr-FR"/>
        </w:rPr>
        <w:t>,</w:t>
      </w:r>
      <w:r w:rsidR="000E2B64" w:rsidRPr="00130C7A">
        <w:rPr>
          <w:lang w:val="fr-FR"/>
        </w:rPr>
        <w:t xml:space="preserve"> « connaissant son habitude à </w:t>
      </w:r>
      <w:r w:rsidR="00C62EF5" w:rsidRPr="00130C7A">
        <w:rPr>
          <w:lang w:val="fr-FR"/>
        </w:rPr>
        <w:t>inh</w:t>
      </w:r>
      <w:r w:rsidR="00066DB8" w:rsidRPr="00130C7A">
        <w:rPr>
          <w:lang w:val="fr-FR"/>
        </w:rPr>
        <w:t>aler le gaz des cartouches »</w:t>
      </w:r>
      <w:r w:rsidR="00C62EF5" w:rsidRPr="00130C7A">
        <w:rPr>
          <w:lang w:val="fr-FR"/>
        </w:rPr>
        <w:t>.</w:t>
      </w:r>
    </w:p>
    <w:p w:rsidR="001E0028" w:rsidRPr="00130C7A" w:rsidRDefault="007246BC"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17</w:t>
      </w:r>
      <w:r w:rsidRPr="00130C7A">
        <w:rPr>
          <w:lang w:val="fr-FR"/>
        </w:rPr>
        <w:fldChar w:fldCharType="end"/>
      </w:r>
      <w:r w:rsidRPr="00130C7A">
        <w:rPr>
          <w:lang w:val="fr-FR"/>
        </w:rPr>
        <w:t>.  Le 30 juin 2006, le parquet demanda</w:t>
      </w:r>
      <w:r w:rsidR="00BA20ED" w:rsidRPr="00130C7A">
        <w:rPr>
          <w:lang w:val="fr-FR"/>
        </w:rPr>
        <w:t xml:space="preserve"> et obtint</w:t>
      </w:r>
      <w:r w:rsidRPr="00130C7A">
        <w:rPr>
          <w:lang w:val="fr-FR"/>
        </w:rPr>
        <w:t xml:space="preserve"> la prorogation du délai de six mois </w:t>
      </w:r>
      <w:r w:rsidR="00BA20ED" w:rsidRPr="00130C7A">
        <w:rPr>
          <w:lang w:val="fr-FR"/>
        </w:rPr>
        <w:t xml:space="preserve">imparti </w:t>
      </w:r>
      <w:r w:rsidRPr="00130C7A">
        <w:rPr>
          <w:lang w:val="fr-FR"/>
        </w:rPr>
        <w:t>pour cl</w:t>
      </w:r>
      <w:r w:rsidR="00801522" w:rsidRPr="00130C7A">
        <w:rPr>
          <w:lang w:val="fr-FR"/>
        </w:rPr>
        <w:t>ore</w:t>
      </w:r>
      <w:r w:rsidRPr="00130C7A">
        <w:rPr>
          <w:lang w:val="fr-FR"/>
        </w:rPr>
        <w:t xml:space="preserve"> l</w:t>
      </w:r>
      <w:r w:rsidR="00130C7A" w:rsidRPr="00130C7A">
        <w:rPr>
          <w:lang w:val="fr-FR"/>
        </w:rPr>
        <w:t>’</w:t>
      </w:r>
      <w:r w:rsidRPr="00130C7A">
        <w:rPr>
          <w:lang w:val="fr-FR"/>
        </w:rPr>
        <w:t>enquête.</w:t>
      </w:r>
    </w:p>
    <w:p w:rsidR="001E18AA" w:rsidRPr="00130C7A" w:rsidRDefault="00B2619D"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18</w:t>
      </w:r>
      <w:r w:rsidRPr="00130C7A">
        <w:rPr>
          <w:lang w:val="fr-FR"/>
        </w:rPr>
        <w:fldChar w:fldCharType="end"/>
      </w:r>
      <w:r w:rsidRPr="00130C7A">
        <w:rPr>
          <w:lang w:val="fr-FR"/>
        </w:rPr>
        <w:t>.  </w:t>
      </w:r>
      <w:r w:rsidR="00CF5176" w:rsidRPr="00130C7A">
        <w:rPr>
          <w:lang w:val="fr-FR"/>
        </w:rPr>
        <w:t xml:space="preserve">Le </w:t>
      </w:r>
      <w:r w:rsidR="00BE0714" w:rsidRPr="00130C7A">
        <w:rPr>
          <w:lang w:val="fr-FR"/>
        </w:rPr>
        <w:t xml:space="preserve">13 juillet 2006, </w:t>
      </w:r>
      <w:r w:rsidR="0042324D" w:rsidRPr="00130C7A">
        <w:rPr>
          <w:lang w:val="fr-FR"/>
        </w:rPr>
        <w:t>il</w:t>
      </w:r>
      <w:r w:rsidR="00CF5176" w:rsidRPr="00130C7A">
        <w:rPr>
          <w:lang w:val="fr-FR"/>
        </w:rPr>
        <w:t xml:space="preserve"> ordonna une deuxième expertise</w:t>
      </w:r>
      <w:r w:rsidRPr="00130C7A">
        <w:rPr>
          <w:lang w:val="fr-FR"/>
        </w:rPr>
        <w:t xml:space="preserve"> médicolégale</w:t>
      </w:r>
      <w:r w:rsidR="008169B4" w:rsidRPr="00130C7A">
        <w:rPr>
          <w:lang w:val="fr-FR"/>
        </w:rPr>
        <w:t xml:space="preserve"> visant à </w:t>
      </w:r>
      <w:r w:rsidR="006D1F0E" w:rsidRPr="00130C7A">
        <w:rPr>
          <w:lang w:val="fr-FR"/>
        </w:rPr>
        <w:t xml:space="preserve">la </w:t>
      </w:r>
      <w:r w:rsidR="00E87800" w:rsidRPr="00130C7A">
        <w:rPr>
          <w:lang w:val="fr-FR"/>
        </w:rPr>
        <w:t>vérifi</w:t>
      </w:r>
      <w:r w:rsidR="006D1F0E" w:rsidRPr="00130C7A">
        <w:rPr>
          <w:lang w:val="fr-FR"/>
        </w:rPr>
        <w:t>cation de</w:t>
      </w:r>
      <w:r w:rsidR="008169B4" w:rsidRPr="00130C7A">
        <w:rPr>
          <w:lang w:val="fr-FR"/>
        </w:rPr>
        <w:t xml:space="preserve"> la compatibilité des lésions </w:t>
      </w:r>
      <w:r w:rsidR="006D1F0E" w:rsidRPr="00130C7A">
        <w:rPr>
          <w:lang w:val="fr-FR"/>
        </w:rPr>
        <w:t>obser</w:t>
      </w:r>
      <w:r w:rsidR="008169B4" w:rsidRPr="00130C7A">
        <w:rPr>
          <w:lang w:val="fr-FR"/>
        </w:rPr>
        <w:t>vées sur le corps d</w:t>
      </w:r>
      <w:r w:rsidR="005945AB" w:rsidRPr="00130C7A">
        <w:rPr>
          <w:lang w:val="fr-FR"/>
        </w:rPr>
        <w:t xml:space="preserve">e </w:t>
      </w:r>
      <w:r w:rsidR="008169B4" w:rsidRPr="00130C7A">
        <w:rPr>
          <w:lang w:val="fr-FR"/>
        </w:rPr>
        <w:t>A. avec l</w:t>
      </w:r>
      <w:r w:rsidR="00130C7A" w:rsidRPr="00130C7A">
        <w:rPr>
          <w:lang w:val="fr-FR"/>
        </w:rPr>
        <w:t>’</w:t>
      </w:r>
      <w:r w:rsidR="008169B4" w:rsidRPr="00130C7A">
        <w:rPr>
          <w:lang w:val="fr-FR"/>
        </w:rPr>
        <w:t>action de l</w:t>
      </w:r>
      <w:r w:rsidR="00130C7A" w:rsidRPr="00130C7A">
        <w:rPr>
          <w:lang w:val="fr-FR"/>
        </w:rPr>
        <w:t>’</w:t>
      </w:r>
      <w:r w:rsidR="00E87800" w:rsidRPr="00130C7A">
        <w:rPr>
          <w:lang w:val="fr-FR"/>
        </w:rPr>
        <w:t>énergie</w:t>
      </w:r>
      <w:r w:rsidR="008169B4" w:rsidRPr="00130C7A">
        <w:rPr>
          <w:lang w:val="fr-FR"/>
        </w:rPr>
        <w:t xml:space="preserve"> </w:t>
      </w:r>
      <w:r w:rsidR="00E87800" w:rsidRPr="00130C7A">
        <w:rPr>
          <w:lang w:val="fr-FR"/>
        </w:rPr>
        <w:t>électrique</w:t>
      </w:r>
      <w:r w:rsidR="008169B4" w:rsidRPr="00130C7A">
        <w:rPr>
          <w:lang w:val="fr-FR"/>
        </w:rPr>
        <w:t xml:space="preserve"> et, le cas </w:t>
      </w:r>
      <w:r w:rsidR="00B9015E" w:rsidRPr="00130C7A">
        <w:rPr>
          <w:lang w:val="fr-FR"/>
        </w:rPr>
        <w:t>échéant</w:t>
      </w:r>
      <w:r w:rsidR="008169B4" w:rsidRPr="00130C7A">
        <w:rPr>
          <w:lang w:val="fr-FR"/>
        </w:rPr>
        <w:t xml:space="preserve">, </w:t>
      </w:r>
      <w:r w:rsidR="00E87800" w:rsidRPr="00130C7A">
        <w:rPr>
          <w:lang w:val="fr-FR"/>
        </w:rPr>
        <w:t xml:space="preserve">à </w:t>
      </w:r>
      <w:r w:rsidR="006D1F0E" w:rsidRPr="00130C7A">
        <w:rPr>
          <w:lang w:val="fr-FR"/>
        </w:rPr>
        <w:t xml:space="preserve">la </w:t>
      </w:r>
      <w:r w:rsidR="0067391E" w:rsidRPr="00130C7A">
        <w:rPr>
          <w:lang w:val="fr-FR"/>
        </w:rPr>
        <w:t>détermin</w:t>
      </w:r>
      <w:r w:rsidR="006D1F0E" w:rsidRPr="00130C7A">
        <w:rPr>
          <w:lang w:val="fr-FR"/>
        </w:rPr>
        <w:t>ation de</w:t>
      </w:r>
      <w:r w:rsidR="0067391E" w:rsidRPr="00130C7A">
        <w:rPr>
          <w:lang w:val="fr-FR"/>
        </w:rPr>
        <w:t xml:space="preserve"> la source d</w:t>
      </w:r>
      <w:r w:rsidR="00130C7A" w:rsidRPr="00130C7A">
        <w:rPr>
          <w:lang w:val="fr-FR"/>
        </w:rPr>
        <w:t>’</w:t>
      </w:r>
      <w:r w:rsidR="0067391E" w:rsidRPr="00130C7A">
        <w:rPr>
          <w:lang w:val="fr-FR"/>
        </w:rPr>
        <w:t xml:space="preserve">électricité </w:t>
      </w:r>
      <w:r w:rsidR="006D1F0E" w:rsidRPr="00130C7A">
        <w:rPr>
          <w:lang w:val="fr-FR"/>
        </w:rPr>
        <w:t xml:space="preserve">concernée </w:t>
      </w:r>
      <w:r w:rsidR="0067391E" w:rsidRPr="00130C7A">
        <w:rPr>
          <w:lang w:val="fr-FR"/>
        </w:rPr>
        <w:t xml:space="preserve">ainsi que </w:t>
      </w:r>
      <w:r w:rsidR="006D1F0E" w:rsidRPr="00130C7A">
        <w:rPr>
          <w:lang w:val="fr-FR"/>
        </w:rPr>
        <w:t>du</w:t>
      </w:r>
      <w:r w:rsidR="008169B4" w:rsidRPr="00130C7A">
        <w:rPr>
          <w:lang w:val="fr-FR"/>
        </w:rPr>
        <w:t xml:space="preserve"> lien </w:t>
      </w:r>
      <w:r w:rsidR="00E87800" w:rsidRPr="00130C7A">
        <w:rPr>
          <w:lang w:val="fr-FR"/>
        </w:rPr>
        <w:t>de causalité</w:t>
      </w:r>
      <w:r w:rsidR="008169B4" w:rsidRPr="00130C7A">
        <w:rPr>
          <w:lang w:val="fr-FR"/>
        </w:rPr>
        <w:t xml:space="preserve"> entre </w:t>
      </w:r>
      <w:r w:rsidR="003F09A7" w:rsidRPr="00130C7A">
        <w:rPr>
          <w:lang w:val="fr-FR"/>
        </w:rPr>
        <w:t xml:space="preserve">une </w:t>
      </w:r>
      <w:r w:rsidR="00E87800" w:rsidRPr="00130C7A">
        <w:rPr>
          <w:lang w:val="fr-FR"/>
        </w:rPr>
        <w:t>électrocution</w:t>
      </w:r>
      <w:r w:rsidR="008169B4" w:rsidRPr="00130C7A">
        <w:rPr>
          <w:lang w:val="fr-FR"/>
        </w:rPr>
        <w:t xml:space="preserve"> et le </w:t>
      </w:r>
      <w:r w:rsidR="00E87800" w:rsidRPr="00130C7A">
        <w:rPr>
          <w:lang w:val="fr-FR"/>
        </w:rPr>
        <w:t>décès</w:t>
      </w:r>
      <w:r w:rsidR="008169B4" w:rsidRPr="00130C7A">
        <w:rPr>
          <w:lang w:val="fr-FR"/>
        </w:rPr>
        <w:t>.</w:t>
      </w:r>
    </w:p>
    <w:p w:rsidR="00EE5500" w:rsidRPr="00130C7A" w:rsidRDefault="0067391E"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19</w:t>
      </w:r>
      <w:r w:rsidRPr="00130C7A">
        <w:rPr>
          <w:lang w:val="fr-FR"/>
        </w:rPr>
        <w:fldChar w:fldCharType="end"/>
      </w:r>
      <w:r w:rsidRPr="00130C7A">
        <w:rPr>
          <w:lang w:val="fr-FR"/>
        </w:rPr>
        <w:t>.  </w:t>
      </w:r>
      <w:r w:rsidR="00CA1CB3" w:rsidRPr="00130C7A">
        <w:rPr>
          <w:lang w:val="fr-FR"/>
        </w:rPr>
        <w:t>L</w:t>
      </w:r>
      <w:r w:rsidR="00130C7A" w:rsidRPr="00130C7A">
        <w:rPr>
          <w:lang w:val="fr-FR"/>
        </w:rPr>
        <w:t>’</w:t>
      </w:r>
      <w:r w:rsidR="00CA1CB3" w:rsidRPr="00130C7A">
        <w:rPr>
          <w:lang w:val="fr-FR"/>
        </w:rPr>
        <w:t xml:space="preserve">expert </w:t>
      </w:r>
      <w:r w:rsidRPr="00130C7A">
        <w:rPr>
          <w:lang w:val="fr-FR"/>
        </w:rPr>
        <w:t xml:space="preserve">déposa son rapport le 11 septembre 2007. </w:t>
      </w:r>
      <w:r w:rsidR="006D1F0E" w:rsidRPr="00130C7A">
        <w:rPr>
          <w:lang w:val="fr-FR"/>
        </w:rPr>
        <w:t>Il y indiquait tout d</w:t>
      </w:r>
      <w:r w:rsidR="00130C7A" w:rsidRPr="00130C7A">
        <w:rPr>
          <w:lang w:val="fr-FR"/>
        </w:rPr>
        <w:t>’</w:t>
      </w:r>
      <w:r w:rsidR="006D1F0E" w:rsidRPr="00130C7A">
        <w:rPr>
          <w:lang w:val="fr-FR"/>
        </w:rPr>
        <w:t>abord</w:t>
      </w:r>
      <w:r w:rsidR="007A3C1C" w:rsidRPr="00130C7A">
        <w:rPr>
          <w:lang w:val="fr-FR"/>
        </w:rPr>
        <w:t xml:space="preserve"> que</w:t>
      </w:r>
      <w:r w:rsidR="006D1F0E" w:rsidRPr="00130C7A">
        <w:rPr>
          <w:lang w:val="fr-FR"/>
        </w:rPr>
        <w:t>, contrairement à ce que le premier rapport d</w:t>
      </w:r>
      <w:r w:rsidR="00130C7A" w:rsidRPr="00130C7A">
        <w:rPr>
          <w:lang w:val="fr-FR"/>
        </w:rPr>
        <w:t>’</w:t>
      </w:r>
      <w:r w:rsidR="006D1F0E" w:rsidRPr="00130C7A">
        <w:rPr>
          <w:lang w:val="fr-FR"/>
        </w:rPr>
        <w:t xml:space="preserve">expertise avait conclu, </w:t>
      </w:r>
      <w:r w:rsidR="007A3C1C" w:rsidRPr="00130C7A">
        <w:rPr>
          <w:lang w:val="fr-FR"/>
        </w:rPr>
        <w:t xml:space="preserve">les lésions </w:t>
      </w:r>
      <w:r w:rsidR="006D1F0E" w:rsidRPr="00130C7A">
        <w:rPr>
          <w:lang w:val="fr-FR"/>
        </w:rPr>
        <w:t>observ</w:t>
      </w:r>
      <w:r w:rsidR="007A3C1C" w:rsidRPr="00130C7A">
        <w:rPr>
          <w:lang w:val="fr-FR"/>
        </w:rPr>
        <w:t>ées sur le corps de la victime n</w:t>
      </w:r>
      <w:r w:rsidR="00130C7A" w:rsidRPr="00130C7A">
        <w:rPr>
          <w:lang w:val="fr-FR"/>
        </w:rPr>
        <w:t>’</w:t>
      </w:r>
      <w:r w:rsidR="007A3C1C" w:rsidRPr="00130C7A">
        <w:rPr>
          <w:lang w:val="fr-FR"/>
        </w:rPr>
        <w:t xml:space="preserve">étaient pas compatibles avec une électrocution. </w:t>
      </w:r>
      <w:r w:rsidR="006D1F0E" w:rsidRPr="00130C7A">
        <w:rPr>
          <w:lang w:val="fr-FR"/>
        </w:rPr>
        <w:t>Il relevait e</w:t>
      </w:r>
      <w:r w:rsidR="00263A8E" w:rsidRPr="00130C7A">
        <w:rPr>
          <w:lang w:val="fr-FR"/>
        </w:rPr>
        <w:t>n outre</w:t>
      </w:r>
      <w:r w:rsidR="006D1F0E" w:rsidRPr="00130C7A">
        <w:rPr>
          <w:lang w:val="fr-FR"/>
        </w:rPr>
        <w:t xml:space="preserve"> </w:t>
      </w:r>
      <w:r w:rsidR="00263A8E" w:rsidRPr="00130C7A">
        <w:rPr>
          <w:lang w:val="fr-FR"/>
        </w:rPr>
        <w:t>qu</w:t>
      </w:r>
      <w:r w:rsidR="005945AB" w:rsidRPr="00130C7A">
        <w:rPr>
          <w:lang w:val="fr-FR"/>
        </w:rPr>
        <w:t xml:space="preserve">e </w:t>
      </w:r>
      <w:r w:rsidR="005D0B2B" w:rsidRPr="00130C7A">
        <w:rPr>
          <w:lang w:val="fr-FR"/>
        </w:rPr>
        <w:t xml:space="preserve">A. </w:t>
      </w:r>
      <w:r w:rsidR="00263A8E" w:rsidRPr="00130C7A">
        <w:rPr>
          <w:lang w:val="fr-FR"/>
        </w:rPr>
        <w:t>était atteint d</w:t>
      </w:r>
      <w:r w:rsidR="00130C7A" w:rsidRPr="00130C7A">
        <w:rPr>
          <w:lang w:val="fr-FR"/>
        </w:rPr>
        <w:t>’</w:t>
      </w:r>
      <w:r w:rsidR="004D0F58" w:rsidRPr="00130C7A">
        <w:rPr>
          <w:lang w:val="fr-FR"/>
        </w:rPr>
        <w:t>une grave fibrose myocardique</w:t>
      </w:r>
      <w:r w:rsidR="006D1F0E" w:rsidRPr="00130C7A">
        <w:rPr>
          <w:lang w:val="fr-FR"/>
        </w:rPr>
        <w:t>,</w:t>
      </w:r>
      <w:r w:rsidR="004D0F58" w:rsidRPr="00130C7A">
        <w:rPr>
          <w:lang w:val="fr-FR"/>
        </w:rPr>
        <w:t xml:space="preserve"> </w:t>
      </w:r>
      <w:r w:rsidR="00AC3DBD" w:rsidRPr="00130C7A">
        <w:rPr>
          <w:lang w:val="fr-FR"/>
        </w:rPr>
        <w:t>corrélée</w:t>
      </w:r>
      <w:r w:rsidR="004D0F58" w:rsidRPr="00130C7A">
        <w:rPr>
          <w:lang w:val="fr-FR"/>
        </w:rPr>
        <w:t xml:space="preserve"> à sa dépendance </w:t>
      </w:r>
      <w:r w:rsidR="006D1F0E" w:rsidRPr="00130C7A">
        <w:rPr>
          <w:lang w:val="fr-FR"/>
        </w:rPr>
        <w:t>à l</w:t>
      </w:r>
      <w:r w:rsidR="00130C7A" w:rsidRPr="00130C7A">
        <w:rPr>
          <w:lang w:val="fr-FR"/>
        </w:rPr>
        <w:t>’</w:t>
      </w:r>
      <w:r w:rsidR="004D0F58" w:rsidRPr="00130C7A">
        <w:rPr>
          <w:lang w:val="fr-FR"/>
        </w:rPr>
        <w:t xml:space="preserve">alcool et </w:t>
      </w:r>
      <w:r w:rsidR="006D1F0E" w:rsidRPr="00130C7A">
        <w:rPr>
          <w:lang w:val="fr-FR"/>
        </w:rPr>
        <w:t>aux</w:t>
      </w:r>
      <w:r w:rsidR="00276031" w:rsidRPr="00130C7A">
        <w:rPr>
          <w:lang w:val="fr-FR"/>
        </w:rPr>
        <w:t xml:space="preserve"> </w:t>
      </w:r>
      <w:r w:rsidR="004D0F58" w:rsidRPr="00130C7A">
        <w:rPr>
          <w:lang w:val="fr-FR"/>
        </w:rPr>
        <w:t>drogue</w:t>
      </w:r>
      <w:r w:rsidR="004D31DA" w:rsidRPr="00130C7A">
        <w:rPr>
          <w:lang w:val="fr-FR"/>
        </w:rPr>
        <w:t>s</w:t>
      </w:r>
      <w:r w:rsidR="006D1F0E" w:rsidRPr="00130C7A">
        <w:rPr>
          <w:lang w:val="fr-FR"/>
        </w:rPr>
        <w:t xml:space="preserve">, </w:t>
      </w:r>
      <w:r w:rsidR="005E77F1" w:rsidRPr="00130C7A">
        <w:rPr>
          <w:lang w:val="fr-FR"/>
        </w:rPr>
        <w:t>qui était restée latente jusqu</w:t>
      </w:r>
      <w:r w:rsidR="00130C7A" w:rsidRPr="00130C7A">
        <w:rPr>
          <w:lang w:val="fr-FR"/>
        </w:rPr>
        <w:t>’</w:t>
      </w:r>
      <w:r w:rsidR="005E77F1" w:rsidRPr="00130C7A">
        <w:rPr>
          <w:lang w:val="fr-FR"/>
        </w:rPr>
        <w:t>au décès</w:t>
      </w:r>
      <w:r w:rsidR="00925583" w:rsidRPr="00130C7A">
        <w:rPr>
          <w:lang w:val="fr-FR"/>
        </w:rPr>
        <w:t xml:space="preserve">. </w:t>
      </w:r>
      <w:r w:rsidR="0042324D" w:rsidRPr="00130C7A">
        <w:rPr>
          <w:lang w:val="fr-FR"/>
        </w:rPr>
        <w:t xml:space="preserve">Il </w:t>
      </w:r>
      <w:r w:rsidR="00EE5500" w:rsidRPr="00130C7A">
        <w:rPr>
          <w:lang w:val="fr-FR"/>
        </w:rPr>
        <w:t>estima</w:t>
      </w:r>
      <w:r w:rsidR="006D1F0E" w:rsidRPr="00130C7A">
        <w:rPr>
          <w:lang w:val="fr-FR"/>
        </w:rPr>
        <w:t>it</w:t>
      </w:r>
      <w:r w:rsidR="00EE5500" w:rsidRPr="00130C7A">
        <w:rPr>
          <w:lang w:val="fr-FR"/>
        </w:rPr>
        <w:t xml:space="preserve"> </w:t>
      </w:r>
      <w:r w:rsidR="00DD508D" w:rsidRPr="00130C7A">
        <w:rPr>
          <w:lang w:val="fr-FR"/>
        </w:rPr>
        <w:t xml:space="preserve">que </w:t>
      </w:r>
      <w:r w:rsidR="006D1F0E" w:rsidRPr="00130C7A">
        <w:rPr>
          <w:lang w:val="fr-FR"/>
        </w:rPr>
        <w:t>A.</w:t>
      </w:r>
      <w:r w:rsidR="00EE5500" w:rsidRPr="00130C7A">
        <w:rPr>
          <w:lang w:val="fr-FR"/>
        </w:rPr>
        <w:t xml:space="preserve"> avait </w:t>
      </w:r>
      <w:r w:rsidR="005E255B" w:rsidRPr="00130C7A">
        <w:rPr>
          <w:lang w:val="fr-FR"/>
        </w:rPr>
        <w:t xml:space="preserve">probablement </w:t>
      </w:r>
      <w:r w:rsidR="00EE5500" w:rsidRPr="00130C7A">
        <w:rPr>
          <w:lang w:val="fr-FR"/>
        </w:rPr>
        <w:t>été victime d</w:t>
      </w:r>
      <w:r w:rsidR="00130C7A" w:rsidRPr="00130C7A">
        <w:rPr>
          <w:lang w:val="fr-FR"/>
        </w:rPr>
        <w:t>’</w:t>
      </w:r>
      <w:r w:rsidR="00EE5500" w:rsidRPr="00130C7A">
        <w:rPr>
          <w:lang w:val="fr-FR"/>
        </w:rPr>
        <w:t>une arythmie aigu</w:t>
      </w:r>
      <w:r w:rsidR="00B94644" w:rsidRPr="00130C7A">
        <w:rPr>
          <w:lang w:val="fr-FR"/>
        </w:rPr>
        <w:t>ë</w:t>
      </w:r>
      <w:r w:rsidR="00EE5500" w:rsidRPr="00130C7A">
        <w:rPr>
          <w:lang w:val="fr-FR"/>
        </w:rPr>
        <w:t xml:space="preserve"> causée par les effets du gaz</w:t>
      </w:r>
      <w:r w:rsidR="0004085C" w:rsidRPr="00130C7A">
        <w:rPr>
          <w:lang w:val="fr-FR"/>
        </w:rPr>
        <w:t xml:space="preserve">, </w:t>
      </w:r>
      <w:r w:rsidR="0004085C" w:rsidRPr="00130C7A">
        <w:rPr>
          <w:lang w:val="fr-FR"/>
        </w:rPr>
        <w:lastRenderedPageBreak/>
        <w:t>laquelle</w:t>
      </w:r>
      <w:r w:rsidR="00EE5500" w:rsidRPr="00130C7A">
        <w:rPr>
          <w:lang w:val="fr-FR"/>
        </w:rPr>
        <w:t xml:space="preserve"> avait </w:t>
      </w:r>
      <w:r w:rsidR="005E255B" w:rsidRPr="00130C7A">
        <w:rPr>
          <w:lang w:val="fr-FR"/>
        </w:rPr>
        <w:t>provoqué le décès</w:t>
      </w:r>
      <w:r w:rsidR="00EE5500" w:rsidRPr="00130C7A">
        <w:rPr>
          <w:lang w:val="fr-FR"/>
        </w:rPr>
        <w:t xml:space="preserve"> en raison de la gravité des pathologies</w:t>
      </w:r>
      <w:r w:rsidR="005E255B" w:rsidRPr="00130C7A">
        <w:rPr>
          <w:lang w:val="fr-FR"/>
        </w:rPr>
        <w:t xml:space="preserve"> cardiaque</w:t>
      </w:r>
      <w:r w:rsidR="006D1F0E" w:rsidRPr="00130C7A">
        <w:rPr>
          <w:lang w:val="fr-FR"/>
        </w:rPr>
        <w:t>s</w:t>
      </w:r>
      <w:r w:rsidR="00EE5500" w:rsidRPr="00130C7A">
        <w:rPr>
          <w:lang w:val="fr-FR"/>
        </w:rPr>
        <w:t xml:space="preserve"> </w:t>
      </w:r>
      <w:r w:rsidR="00DD508D" w:rsidRPr="00130C7A">
        <w:rPr>
          <w:lang w:val="fr-FR"/>
        </w:rPr>
        <w:t>préexistantes.</w:t>
      </w:r>
    </w:p>
    <w:p w:rsidR="00CA1CB3" w:rsidRPr="00130C7A" w:rsidRDefault="00CD7DF7"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20</w:t>
      </w:r>
      <w:r w:rsidRPr="00130C7A">
        <w:rPr>
          <w:lang w:val="fr-FR"/>
        </w:rPr>
        <w:fldChar w:fldCharType="end"/>
      </w:r>
      <w:r w:rsidRPr="00130C7A">
        <w:rPr>
          <w:lang w:val="fr-FR"/>
        </w:rPr>
        <w:t>.  </w:t>
      </w:r>
      <w:r w:rsidR="000D1407" w:rsidRPr="00130C7A">
        <w:rPr>
          <w:lang w:val="fr-FR"/>
        </w:rPr>
        <w:t>À différentes dates, en l</w:t>
      </w:r>
      <w:r w:rsidR="00130C7A" w:rsidRPr="00130C7A">
        <w:rPr>
          <w:lang w:val="fr-FR"/>
        </w:rPr>
        <w:t>’</w:t>
      </w:r>
      <w:r w:rsidR="000D1407" w:rsidRPr="00130C7A">
        <w:rPr>
          <w:lang w:val="fr-FR"/>
        </w:rPr>
        <w:t>occurrence l</w:t>
      </w:r>
      <w:r w:rsidR="00CA1CB3" w:rsidRPr="00130C7A">
        <w:rPr>
          <w:lang w:val="fr-FR"/>
        </w:rPr>
        <w:t>es</w:t>
      </w:r>
      <w:r w:rsidR="003E2D2A" w:rsidRPr="00130C7A">
        <w:rPr>
          <w:lang w:val="fr-FR"/>
        </w:rPr>
        <w:t xml:space="preserve"> 27</w:t>
      </w:r>
      <w:r w:rsidR="00AD619D" w:rsidRPr="00130C7A">
        <w:rPr>
          <w:lang w:val="fr-FR"/>
        </w:rPr>
        <w:t> </w:t>
      </w:r>
      <w:r w:rsidR="003E2D2A" w:rsidRPr="00130C7A">
        <w:rPr>
          <w:lang w:val="fr-FR"/>
        </w:rPr>
        <w:t>septembre 2006, 17</w:t>
      </w:r>
      <w:r w:rsidR="00AD619D" w:rsidRPr="00130C7A">
        <w:rPr>
          <w:lang w:val="fr-FR"/>
        </w:rPr>
        <w:t> </w:t>
      </w:r>
      <w:r w:rsidR="003E2D2A" w:rsidRPr="00130C7A">
        <w:rPr>
          <w:lang w:val="fr-FR"/>
        </w:rPr>
        <w:t>juillet</w:t>
      </w:r>
      <w:r w:rsidR="00AD619D" w:rsidRPr="00130C7A">
        <w:rPr>
          <w:lang w:val="fr-FR"/>
        </w:rPr>
        <w:t> </w:t>
      </w:r>
      <w:r w:rsidR="003E2D2A" w:rsidRPr="00130C7A">
        <w:rPr>
          <w:lang w:val="fr-FR"/>
        </w:rPr>
        <w:t>2007 et 12 janvier 2009,</w:t>
      </w:r>
      <w:r w:rsidR="00D35851" w:rsidRPr="00130C7A">
        <w:rPr>
          <w:lang w:val="fr-FR"/>
        </w:rPr>
        <w:t xml:space="preserve"> les requérants</w:t>
      </w:r>
      <w:r w:rsidR="00CA1CB3" w:rsidRPr="00130C7A">
        <w:rPr>
          <w:lang w:val="fr-FR"/>
        </w:rPr>
        <w:t xml:space="preserve"> demandèrent</w:t>
      </w:r>
      <w:r w:rsidR="000D1407" w:rsidRPr="00130C7A">
        <w:rPr>
          <w:lang w:val="fr-FR"/>
        </w:rPr>
        <w:t>,</w:t>
      </w:r>
      <w:r w:rsidR="00CA1CB3" w:rsidRPr="00130C7A">
        <w:rPr>
          <w:lang w:val="fr-FR"/>
        </w:rPr>
        <w:t xml:space="preserve"> </w:t>
      </w:r>
      <w:r w:rsidR="00506F9A" w:rsidRPr="00130C7A">
        <w:rPr>
          <w:lang w:val="fr-FR"/>
        </w:rPr>
        <w:t>sans succès</w:t>
      </w:r>
      <w:r w:rsidR="000D1407" w:rsidRPr="00130C7A">
        <w:rPr>
          <w:lang w:val="fr-FR"/>
        </w:rPr>
        <w:t>,</w:t>
      </w:r>
      <w:r w:rsidR="00506F9A" w:rsidRPr="00130C7A">
        <w:rPr>
          <w:lang w:val="fr-FR"/>
        </w:rPr>
        <w:t xml:space="preserve"> </w:t>
      </w:r>
      <w:r w:rsidR="007F0676" w:rsidRPr="00130C7A">
        <w:rPr>
          <w:lang w:val="fr-FR"/>
        </w:rPr>
        <w:t xml:space="preserve">à </w:t>
      </w:r>
      <w:r w:rsidR="00CA1CB3" w:rsidRPr="00130C7A">
        <w:rPr>
          <w:lang w:val="fr-FR"/>
        </w:rPr>
        <w:t xml:space="preserve">avoir </w:t>
      </w:r>
      <w:r w:rsidR="00EE7058" w:rsidRPr="00130C7A">
        <w:rPr>
          <w:lang w:val="fr-FR"/>
        </w:rPr>
        <w:t>a</w:t>
      </w:r>
      <w:r w:rsidR="006B356C" w:rsidRPr="00130C7A">
        <w:rPr>
          <w:lang w:val="fr-FR"/>
        </w:rPr>
        <w:t>ccès au dossier du parq</w:t>
      </w:r>
      <w:r w:rsidR="007F0676" w:rsidRPr="00130C7A">
        <w:rPr>
          <w:lang w:val="fr-FR"/>
        </w:rPr>
        <w:t xml:space="preserve">uet et </w:t>
      </w:r>
      <w:r w:rsidR="0042324D" w:rsidRPr="00130C7A">
        <w:rPr>
          <w:lang w:val="fr-FR"/>
        </w:rPr>
        <w:t xml:space="preserve">à </w:t>
      </w:r>
      <w:r w:rsidR="00CA1CB3" w:rsidRPr="00130C7A">
        <w:rPr>
          <w:lang w:val="fr-FR"/>
        </w:rPr>
        <w:t xml:space="preserve">être informés des développements </w:t>
      </w:r>
      <w:r w:rsidR="00506F9A" w:rsidRPr="00130C7A">
        <w:rPr>
          <w:lang w:val="fr-FR"/>
        </w:rPr>
        <w:t>de l</w:t>
      </w:r>
      <w:r w:rsidR="00130C7A" w:rsidRPr="00130C7A">
        <w:rPr>
          <w:lang w:val="fr-FR"/>
        </w:rPr>
        <w:t>’</w:t>
      </w:r>
      <w:r w:rsidR="00506F9A" w:rsidRPr="00130C7A">
        <w:rPr>
          <w:lang w:val="fr-FR"/>
        </w:rPr>
        <w:t>enquête</w:t>
      </w:r>
      <w:r w:rsidR="00CA1CB3" w:rsidRPr="00130C7A">
        <w:rPr>
          <w:lang w:val="fr-FR"/>
        </w:rPr>
        <w:t>.</w:t>
      </w:r>
    </w:p>
    <w:p w:rsidR="0004628C" w:rsidRPr="00130C7A" w:rsidRDefault="00CA1CB3"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21</w:t>
      </w:r>
      <w:r w:rsidRPr="00130C7A">
        <w:rPr>
          <w:lang w:val="fr-FR"/>
        </w:rPr>
        <w:fldChar w:fldCharType="end"/>
      </w:r>
      <w:r w:rsidR="00500F6E" w:rsidRPr="00130C7A">
        <w:rPr>
          <w:lang w:val="fr-FR"/>
        </w:rPr>
        <w:t>.  </w:t>
      </w:r>
      <w:r w:rsidR="003E2D2A" w:rsidRPr="00130C7A">
        <w:rPr>
          <w:lang w:val="fr-FR"/>
        </w:rPr>
        <w:t>L</w:t>
      </w:r>
      <w:r w:rsidRPr="00130C7A">
        <w:rPr>
          <w:lang w:val="fr-FR"/>
        </w:rPr>
        <w:t xml:space="preserve">e 24 mars 2009, le parquet demanda le classement </w:t>
      </w:r>
      <w:r w:rsidR="00B2619D" w:rsidRPr="00130C7A">
        <w:rPr>
          <w:lang w:val="fr-FR"/>
        </w:rPr>
        <w:t xml:space="preserve">sans suite de la </w:t>
      </w:r>
      <w:r w:rsidR="007324F0" w:rsidRPr="00130C7A">
        <w:rPr>
          <w:lang w:val="fr-FR"/>
        </w:rPr>
        <w:t>procédure</w:t>
      </w:r>
      <w:r w:rsidR="00500F6E" w:rsidRPr="00130C7A">
        <w:rPr>
          <w:lang w:val="fr-FR"/>
        </w:rPr>
        <w:t xml:space="preserve">. </w:t>
      </w:r>
      <w:r w:rsidR="008618F0" w:rsidRPr="00130C7A">
        <w:rPr>
          <w:lang w:val="fr-FR"/>
        </w:rPr>
        <w:t xml:space="preserve">Selon le parquet, </w:t>
      </w:r>
      <w:r w:rsidR="0042324D" w:rsidRPr="00130C7A">
        <w:rPr>
          <w:lang w:val="fr-FR"/>
        </w:rPr>
        <w:t>étant donné que</w:t>
      </w:r>
      <w:r w:rsidR="00341D6C" w:rsidRPr="00130C7A">
        <w:rPr>
          <w:lang w:val="fr-FR"/>
        </w:rPr>
        <w:t xml:space="preserve"> </w:t>
      </w:r>
      <w:r w:rsidR="004A7537" w:rsidRPr="00130C7A">
        <w:rPr>
          <w:lang w:val="fr-FR"/>
        </w:rPr>
        <w:t>l</w:t>
      </w:r>
      <w:r w:rsidR="00603523" w:rsidRPr="00130C7A">
        <w:rPr>
          <w:lang w:val="fr-FR"/>
        </w:rPr>
        <w:t xml:space="preserve">a dernière </w:t>
      </w:r>
      <w:r w:rsidR="004A7537" w:rsidRPr="00130C7A">
        <w:rPr>
          <w:lang w:val="fr-FR"/>
        </w:rPr>
        <w:t>expertise</w:t>
      </w:r>
      <w:r w:rsidR="00341D6C" w:rsidRPr="00130C7A">
        <w:rPr>
          <w:lang w:val="fr-FR"/>
        </w:rPr>
        <w:t xml:space="preserve"> avait exclu que </w:t>
      </w:r>
      <w:r w:rsidR="000105BD" w:rsidRPr="00130C7A">
        <w:rPr>
          <w:lang w:val="fr-FR"/>
        </w:rPr>
        <w:t>le</w:t>
      </w:r>
      <w:r w:rsidR="00341D6C" w:rsidRPr="00130C7A">
        <w:rPr>
          <w:lang w:val="fr-FR"/>
        </w:rPr>
        <w:t xml:space="preserve"> décès était</w:t>
      </w:r>
      <w:r w:rsidR="000105BD" w:rsidRPr="00130C7A">
        <w:rPr>
          <w:lang w:val="fr-FR"/>
        </w:rPr>
        <w:t xml:space="preserve"> dû à une </w:t>
      </w:r>
      <w:r w:rsidR="00341D6C" w:rsidRPr="00130C7A">
        <w:rPr>
          <w:lang w:val="fr-FR"/>
        </w:rPr>
        <w:t>électrocution</w:t>
      </w:r>
      <w:r w:rsidR="0009038C" w:rsidRPr="00130C7A">
        <w:rPr>
          <w:lang w:val="fr-FR"/>
        </w:rPr>
        <w:t xml:space="preserve">, </w:t>
      </w:r>
      <w:r w:rsidR="00603523" w:rsidRPr="00130C7A">
        <w:rPr>
          <w:lang w:val="fr-FR"/>
        </w:rPr>
        <w:t>l</w:t>
      </w:r>
      <w:r w:rsidR="00130C7A" w:rsidRPr="00130C7A">
        <w:rPr>
          <w:lang w:val="fr-FR"/>
        </w:rPr>
        <w:t>’</w:t>
      </w:r>
      <w:r w:rsidR="00603523" w:rsidRPr="00130C7A">
        <w:rPr>
          <w:lang w:val="fr-FR"/>
        </w:rPr>
        <w:t>existence d</w:t>
      </w:r>
      <w:r w:rsidR="00130C7A" w:rsidRPr="00130C7A">
        <w:rPr>
          <w:lang w:val="fr-FR"/>
        </w:rPr>
        <w:t>’</w:t>
      </w:r>
      <w:r w:rsidR="00603523" w:rsidRPr="00130C7A">
        <w:rPr>
          <w:lang w:val="fr-FR"/>
        </w:rPr>
        <w:t xml:space="preserve">un </w:t>
      </w:r>
      <w:r w:rsidR="00500F6E" w:rsidRPr="00130C7A">
        <w:rPr>
          <w:lang w:val="fr-FR"/>
        </w:rPr>
        <w:t xml:space="preserve">lien de causalité </w:t>
      </w:r>
      <w:r w:rsidR="004A7537" w:rsidRPr="00130C7A">
        <w:rPr>
          <w:lang w:val="fr-FR"/>
        </w:rPr>
        <w:t xml:space="preserve">entre la mort et </w:t>
      </w:r>
      <w:r w:rsidR="0009038C" w:rsidRPr="00130C7A">
        <w:rPr>
          <w:lang w:val="fr-FR"/>
        </w:rPr>
        <w:t>le comportement d</w:t>
      </w:r>
      <w:r w:rsidR="00130C7A" w:rsidRPr="00130C7A">
        <w:rPr>
          <w:lang w:val="fr-FR"/>
        </w:rPr>
        <w:t>’</w:t>
      </w:r>
      <w:r w:rsidR="0009038C" w:rsidRPr="00130C7A">
        <w:rPr>
          <w:lang w:val="fr-FR"/>
        </w:rPr>
        <w:t>un t</w:t>
      </w:r>
      <w:r w:rsidR="006F2733" w:rsidRPr="00130C7A">
        <w:rPr>
          <w:lang w:val="fr-FR"/>
        </w:rPr>
        <w:t>i</w:t>
      </w:r>
      <w:r w:rsidR="0009038C" w:rsidRPr="00130C7A">
        <w:rPr>
          <w:lang w:val="fr-FR"/>
        </w:rPr>
        <w:t>ers</w:t>
      </w:r>
      <w:r w:rsidR="003626E1" w:rsidRPr="00130C7A">
        <w:rPr>
          <w:lang w:val="fr-FR"/>
        </w:rPr>
        <w:t>, qui avait justifié l</w:t>
      </w:r>
      <w:r w:rsidR="00130C7A" w:rsidRPr="00130C7A">
        <w:rPr>
          <w:lang w:val="fr-FR"/>
        </w:rPr>
        <w:t>’</w:t>
      </w:r>
      <w:r w:rsidR="003626E1" w:rsidRPr="00130C7A">
        <w:rPr>
          <w:lang w:val="fr-FR"/>
        </w:rPr>
        <w:t>ouverture de l</w:t>
      </w:r>
      <w:r w:rsidR="00130C7A" w:rsidRPr="00130C7A">
        <w:rPr>
          <w:lang w:val="fr-FR"/>
        </w:rPr>
        <w:t>’</w:t>
      </w:r>
      <w:r w:rsidR="003626E1" w:rsidRPr="00130C7A">
        <w:rPr>
          <w:lang w:val="fr-FR"/>
        </w:rPr>
        <w:t>enquête,</w:t>
      </w:r>
      <w:r w:rsidR="000105BD" w:rsidRPr="00130C7A">
        <w:rPr>
          <w:lang w:val="fr-FR"/>
        </w:rPr>
        <w:t xml:space="preserve"> </w:t>
      </w:r>
      <w:r w:rsidR="006F2733" w:rsidRPr="00130C7A">
        <w:rPr>
          <w:lang w:val="fr-FR"/>
        </w:rPr>
        <w:t>n</w:t>
      </w:r>
      <w:r w:rsidR="00130C7A" w:rsidRPr="00130C7A">
        <w:rPr>
          <w:lang w:val="fr-FR"/>
        </w:rPr>
        <w:t>’</w:t>
      </w:r>
      <w:r w:rsidR="006F2733" w:rsidRPr="00130C7A">
        <w:rPr>
          <w:lang w:val="fr-FR"/>
        </w:rPr>
        <w:t xml:space="preserve">était </w:t>
      </w:r>
      <w:r w:rsidR="003626E1" w:rsidRPr="00130C7A">
        <w:rPr>
          <w:lang w:val="fr-FR"/>
        </w:rPr>
        <w:t>plus</w:t>
      </w:r>
      <w:r w:rsidR="006F2733" w:rsidRPr="00130C7A">
        <w:rPr>
          <w:lang w:val="fr-FR"/>
        </w:rPr>
        <w:t xml:space="preserve"> envisageable</w:t>
      </w:r>
      <w:r w:rsidR="003626E1" w:rsidRPr="00130C7A">
        <w:rPr>
          <w:lang w:val="fr-FR"/>
        </w:rPr>
        <w:t>.</w:t>
      </w:r>
      <w:r w:rsidR="000105BD" w:rsidRPr="00130C7A">
        <w:rPr>
          <w:lang w:val="fr-FR"/>
        </w:rPr>
        <w:t xml:space="preserve"> </w:t>
      </w:r>
      <w:r w:rsidR="00455E6A" w:rsidRPr="00130C7A">
        <w:rPr>
          <w:lang w:val="fr-FR"/>
        </w:rPr>
        <w:t>Toujours selon</w:t>
      </w:r>
      <w:r w:rsidR="00603523" w:rsidRPr="00130C7A">
        <w:rPr>
          <w:lang w:val="fr-FR"/>
        </w:rPr>
        <w:t xml:space="preserve"> le parquet, </w:t>
      </w:r>
      <w:r w:rsidR="000105BD" w:rsidRPr="00130C7A">
        <w:rPr>
          <w:lang w:val="fr-FR"/>
        </w:rPr>
        <w:t xml:space="preserve">les investigations avaient permis de </w:t>
      </w:r>
      <w:r w:rsidR="00AC0492" w:rsidRPr="00130C7A">
        <w:rPr>
          <w:lang w:val="fr-FR"/>
        </w:rPr>
        <w:t xml:space="preserve">conclure que </w:t>
      </w:r>
      <w:r w:rsidR="00BC55DC" w:rsidRPr="00130C7A">
        <w:rPr>
          <w:lang w:val="fr-FR"/>
        </w:rPr>
        <w:t xml:space="preserve">le décès avait été </w:t>
      </w:r>
      <w:r w:rsidR="009C1082" w:rsidRPr="00130C7A">
        <w:rPr>
          <w:lang w:val="fr-FR"/>
        </w:rPr>
        <w:t xml:space="preserve">causé </w:t>
      </w:r>
      <w:r w:rsidR="008618F0" w:rsidRPr="00130C7A">
        <w:rPr>
          <w:lang w:val="fr-FR"/>
        </w:rPr>
        <w:t xml:space="preserve">par </w:t>
      </w:r>
      <w:r w:rsidR="00EA4C16" w:rsidRPr="00130C7A">
        <w:rPr>
          <w:lang w:val="fr-FR"/>
        </w:rPr>
        <w:t>l</w:t>
      </w:r>
      <w:r w:rsidR="00130C7A" w:rsidRPr="00130C7A">
        <w:rPr>
          <w:lang w:val="fr-FR"/>
        </w:rPr>
        <w:t>’</w:t>
      </w:r>
      <w:r w:rsidR="00EA4C16" w:rsidRPr="00130C7A">
        <w:rPr>
          <w:lang w:val="fr-FR"/>
        </w:rPr>
        <w:t xml:space="preserve">inhalation volontaire </w:t>
      </w:r>
      <w:r w:rsidR="00AC3DAF" w:rsidRPr="00130C7A">
        <w:rPr>
          <w:lang w:val="fr-FR"/>
        </w:rPr>
        <w:t xml:space="preserve">par le proche des requérants </w:t>
      </w:r>
      <w:r w:rsidR="00EA4C16" w:rsidRPr="00130C7A">
        <w:rPr>
          <w:lang w:val="fr-FR"/>
        </w:rPr>
        <w:t>du gaz régulièr</w:t>
      </w:r>
      <w:r w:rsidR="003A2765" w:rsidRPr="00130C7A">
        <w:rPr>
          <w:lang w:val="fr-FR"/>
        </w:rPr>
        <w:t>ement fourni par l</w:t>
      </w:r>
      <w:r w:rsidR="00603523" w:rsidRPr="00130C7A">
        <w:rPr>
          <w:lang w:val="fr-FR"/>
        </w:rPr>
        <w:t>a prison</w:t>
      </w:r>
      <w:r w:rsidR="0042324D" w:rsidRPr="00130C7A">
        <w:rPr>
          <w:lang w:val="fr-FR"/>
        </w:rPr>
        <w:t xml:space="preserve"> aux détenus</w:t>
      </w:r>
      <w:r w:rsidR="00EA4C16" w:rsidRPr="00130C7A">
        <w:rPr>
          <w:lang w:val="fr-FR"/>
        </w:rPr>
        <w:t xml:space="preserve">, soit </w:t>
      </w:r>
      <w:r w:rsidR="008618F0" w:rsidRPr="00130C7A">
        <w:rPr>
          <w:lang w:val="fr-FR"/>
        </w:rPr>
        <w:t>une</w:t>
      </w:r>
      <w:r w:rsidR="003626E1" w:rsidRPr="00130C7A">
        <w:rPr>
          <w:lang w:val="fr-FR"/>
        </w:rPr>
        <w:t xml:space="preserve"> conduite </w:t>
      </w:r>
      <w:r w:rsidR="004A7537" w:rsidRPr="00130C7A">
        <w:rPr>
          <w:lang w:val="fr-FR"/>
        </w:rPr>
        <w:t>i</w:t>
      </w:r>
      <w:r w:rsidR="003626E1" w:rsidRPr="00130C7A">
        <w:rPr>
          <w:lang w:val="fr-FR"/>
        </w:rPr>
        <w:t>mprévisible</w:t>
      </w:r>
      <w:r w:rsidR="008618F0" w:rsidRPr="00130C7A">
        <w:rPr>
          <w:lang w:val="fr-FR"/>
        </w:rPr>
        <w:t xml:space="preserve"> de la victime</w:t>
      </w:r>
      <w:r w:rsidR="00AC3DAF" w:rsidRPr="00130C7A">
        <w:rPr>
          <w:lang w:val="fr-FR"/>
        </w:rPr>
        <w:t>,</w:t>
      </w:r>
      <w:r w:rsidR="00EA4C16" w:rsidRPr="00130C7A">
        <w:rPr>
          <w:lang w:val="fr-FR"/>
        </w:rPr>
        <w:t xml:space="preserve"> qui ne relevait pas de la responsabilité des autorités</w:t>
      </w:r>
      <w:r w:rsidR="006A2BCD" w:rsidRPr="00130C7A">
        <w:rPr>
          <w:lang w:val="fr-FR"/>
        </w:rPr>
        <w:t>.</w:t>
      </w:r>
    </w:p>
    <w:p w:rsidR="003626E1" w:rsidRPr="00130C7A" w:rsidRDefault="003626E1"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22</w:t>
      </w:r>
      <w:r w:rsidRPr="00130C7A">
        <w:rPr>
          <w:lang w:val="fr-FR"/>
        </w:rPr>
        <w:fldChar w:fldCharType="end"/>
      </w:r>
      <w:r w:rsidRPr="00130C7A">
        <w:rPr>
          <w:lang w:val="fr-FR"/>
        </w:rPr>
        <w:t>.  </w:t>
      </w:r>
      <w:r w:rsidR="00E00436" w:rsidRPr="00130C7A">
        <w:rPr>
          <w:lang w:val="fr-FR"/>
        </w:rPr>
        <w:t>Les requérants s</w:t>
      </w:r>
      <w:r w:rsidR="00130C7A" w:rsidRPr="00130C7A">
        <w:rPr>
          <w:lang w:val="fr-FR"/>
        </w:rPr>
        <w:t>’</w:t>
      </w:r>
      <w:r w:rsidR="00E00436" w:rsidRPr="00130C7A">
        <w:rPr>
          <w:lang w:val="fr-FR"/>
        </w:rPr>
        <w:t>opposèrent au classement</w:t>
      </w:r>
      <w:r w:rsidR="0042324D" w:rsidRPr="00130C7A">
        <w:rPr>
          <w:lang w:val="fr-FR"/>
        </w:rPr>
        <w:t xml:space="preserve"> des poursuites</w:t>
      </w:r>
      <w:r w:rsidR="00E00436" w:rsidRPr="00130C7A">
        <w:rPr>
          <w:lang w:val="fr-FR"/>
        </w:rPr>
        <w:t xml:space="preserve">. </w:t>
      </w:r>
      <w:r w:rsidR="00BC3BA1" w:rsidRPr="00130C7A">
        <w:rPr>
          <w:lang w:val="fr-FR"/>
        </w:rPr>
        <w:t xml:space="preserve">Une audience se tint le 30 septembre 2009. </w:t>
      </w:r>
      <w:r w:rsidR="00BC55DC" w:rsidRPr="00130C7A">
        <w:rPr>
          <w:lang w:val="fr-FR"/>
        </w:rPr>
        <w:t>Par une décision du 1</w:t>
      </w:r>
      <w:r w:rsidR="00BC55DC" w:rsidRPr="00130C7A">
        <w:rPr>
          <w:vertAlign w:val="superscript"/>
          <w:lang w:val="fr-FR"/>
        </w:rPr>
        <w:t>er</w:t>
      </w:r>
      <w:r w:rsidR="00B00C44" w:rsidRPr="00130C7A">
        <w:rPr>
          <w:lang w:val="fr-FR"/>
        </w:rPr>
        <w:t> </w:t>
      </w:r>
      <w:r w:rsidR="00BC55DC" w:rsidRPr="00130C7A">
        <w:rPr>
          <w:lang w:val="fr-FR"/>
        </w:rPr>
        <w:t>octobre</w:t>
      </w:r>
      <w:r w:rsidR="00AD619D" w:rsidRPr="00130C7A">
        <w:rPr>
          <w:lang w:val="fr-FR"/>
        </w:rPr>
        <w:t> </w:t>
      </w:r>
      <w:r w:rsidR="00BC55DC" w:rsidRPr="00130C7A">
        <w:rPr>
          <w:lang w:val="fr-FR"/>
        </w:rPr>
        <w:t>2009</w:t>
      </w:r>
      <w:r w:rsidR="00B00C44" w:rsidRPr="00130C7A">
        <w:rPr>
          <w:lang w:val="fr-FR"/>
        </w:rPr>
        <w:t>,</w:t>
      </w:r>
      <w:r w:rsidR="009C1082" w:rsidRPr="00130C7A">
        <w:rPr>
          <w:lang w:val="fr-FR"/>
        </w:rPr>
        <w:t xml:space="preserve"> le juge des investigations préliminaires de V</w:t>
      </w:r>
      <w:r w:rsidR="00B00C44" w:rsidRPr="00130C7A">
        <w:rPr>
          <w:lang w:val="fr-FR"/>
        </w:rPr>
        <w:t>e</w:t>
      </w:r>
      <w:r w:rsidR="009C1082" w:rsidRPr="00130C7A">
        <w:rPr>
          <w:lang w:val="fr-FR"/>
        </w:rPr>
        <w:t xml:space="preserve">nise </w:t>
      </w:r>
      <w:r w:rsidR="004D31DA" w:rsidRPr="00130C7A">
        <w:rPr>
          <w:lang w:val="fr-FR"/>
        </w:rPr>
        <w:t>rejeta la d</w:t>
      </w:r>
      <w:r w:rsidR="00BC3BA1" w:rsidRPr="00130C7A">
        <w:rPr>
          <w:lang w:val="fr-FR"/>
        </w:rPr>
        <w:t>emande de cla</w:t>
      </w:r>
      <w:r w:rsidR="008618F0" w:rsidRPr="00130C7A">
        <w:rPr>
          <w:lang w:val="fr-FR"/>
        </w:rPr>
        <w:t>ssem</w:t>
      </w:r>
      <w:r w:rsidR="00276031" w:rsidRPr="00130C7A">
        <w:rPr>
          <w:lang w:val="fr-FR"/>
        </w:rPr>
        <w:t>ent du parquet. Selon lui,</w:t>
      </w:r>
      <w:r w:rsidR="00BC3BA1" w:rsidRPr="00130C7A">
        <w:rPr>
          <w:lang w:val="fr-FR"/>
        </w:rPr>
        <w:t xml:space="preserve"> s</w:t>
      </w:r>
      <w:r w:rsidR="00130C7A" w:rsidRPr="00130C7A">
        <w:rPr>
          <w:lang w:val="fr-FR"/>
        </w:rPr>
        <w:t>’</w:t>
      </w:r>
      <w:r w:rsidR="00BC3BA1" w:rsidRPr="00130C7A">
        <w:rPr>
          <w:lang w:val="fr-FR"/>
        </w:rPr>
        <w:t>il était vrai que l</w:t>
      </w:r>
      <w:r w:rsidR="00130C7A" w:rsidRPr="00130C7A">
        <w:rPr>
          <w:lang w:val="fr-FR"/>
        </w:rPr>
        <w:t>’</w:t>
      </w:r>
      <w:r w:rsidR="00BC3BA1" w:rsidRPr="00130C7A">
        <w:rPr>
          <w:lang w:val="fr-FR"/>
        </w:rPr>
        <w:t>hypothèse du décès causé par des tiers à l</w:t>
      </w:r>
      <w:r w:rsidR="00130C7A" w:rsidRPr="00130C7A">
        <w:rPr>
          <w:lang w:val="fr-FR"/>
        </w:rPr>
        <w:t>’</w:t>
      </w:r>
      <w:r w:rsidR="00BC3BA1" w:rsidRPr="00130C7A">
        <w:rPr>
          <w:lang w:val="fr-FR"/>
        </w:rPr>
        <w:t>aide d</w:t>
      </w:r>
      <w:r w:rsidR="00130C7A" w:rsidRPr="00130C7A">
        <w:rPr>
          <w:lang w:val="fr-FR"/>
        </w:rPr>
        <w:t>’</w:t>
      </w:r>
      <w:r w:rsidR="00BC3BA1" w:rsidRPr="00130C7A">
        <w:rPr>
          <w:lang w:val="fr-FR"/>
        </w:rPr>
        <w:t xml:space="preserve">un </w:t>
      </w:r>
      <w:r w:rsidR="00FE1F59" w:rsidRPr="00130C7A">
        <w:rPr>
          <w:lang w:val="fr-FR"/>
        </w:rPr>
        <w:t>appareil</w:t>
      </w:r>
      <w:r w:rsidR="00BC3BA1" w:rsidRPr="00130C7A">
        <w:rPr>
          <w:lang w:val="fr-FR"/>
        </w:rPr>
        <w:t xml:space="preserve"> de dissuasion </w:t>
      </w:r>
      <w:r w:rsidR="0042324D" w:rsidRPr="00130C7A">
        <w:rPr>
          <w:lang w:val="fr-FR"/>
        </w:rPr>
        <w:t>devait</w:t>
      </w:r>
      <w:r w:rsidR="00E00185" w:rsidRPr="00130C7A">
        <w:rPr>
          <w:lang w:val="fr-FR"/>
        </w:rPr>
        <w:t xml:space="preserve"> </w:t>
      </w:r>
      <w:r w:rsidR="0042324D" w:rsidRPr="00130C7A">
        <w:rPr>
          <w:lang w:val="fr-FR"/>
        </w:rPr>
        <w:t>être</w:t>
      </w:r>
      <w:r w:rsidR="00E00185" w:rsidRPr="00130C7A">
        <w:rPr>
          <w:lang w:val="fr-FR"/>
        </w:rPr>
        <w:t xml:space="preserve"> exclue,</w:t>
      </w:r>
      <w:r w:rsidR="00276031" w:rsidRPr="00130C7A">
        <w:rPr>
          <w:lang w:val="fr-FR"/>
        </w:rPr>
        <w:t xml:space="preserve"> la mort d</w:t>
      </w:r>
      <w:r w:rsidR="005945AB" w:rsidRPr="00130C7A">
        <w:rPr>
          <w:lang w:val="fr-FR"/>
        </w:rPr>
        <w:t xml:space="preserve">e </w:t>
      </w:r>
      <w:r w:rsidR="00276031" w:rsidRPr="00130C7A">
        <w:rPr>
          <w:lang w:val="fr-FR"/>
        </w:rPr>
        <w:t xml:space="preserve">A. </w:t>
      </w:r>
      <w:r w:rsidR="0042324D" w:rsidRPr="00130C7A">
        <w:rPr>
          <w:lang w:val="fr-FR"/>
        </w:rPr>
        <w:t>ayant</w:t>
      </w:r>
      <w:r w:rsidR="00276031" w:rsidRPr="00130C7A">
        <w:rPr>
          <w:lang w:val="fr-FR"/>
        </w:rPr>
        <w:t xml:space="preserve"> été </w:t>
      </w:r>
      <w:r w:rsidR="00EA4C16" w:rsidRPr="00130C7A">
        <w:rPr>
          <w:lang w:val="fr-FR"/>
        </w:rPr>
        <w:t xml:space="preserve">probablement </w:t>
      </w:r>
      <w:r w:rsidR="00276031" w:rsidRPr="00130C7A">
        <w:rPr>
          <w:lang w:val="fr-FR"/>
        </w:rPr>
        <w:t>déterminée par l</w:t>
      </w:r>
      <w:r w:rsidR="00130C7A" w:rsidRPr="00130C7A">
        <w:rPr>
          <w:lang w:val="fr-FR"/>
        </w:rPr>
        <w:t>’</w:t>
      </w:r>
      <w:r w:rsidR="00276031" w:rsidRPr="00130C7A">
        <w:rPr>
          <w:lang w:val="fr-FR"/>
        </w:rPr>
        <w:t>inhalation de gaz,</w:t>
      </w:r>
      <w:r w:rsidR="00E00185" w:rsidRPr="00130C7A">
        <w:rPr>
          <w:lang w:val="fr-FR"/>
        </w:rPr>
        <w:t xml:space="preserve"> il </w:t>
      </w:r>
      <w:r w:rsidR="00AC3DAF" w:rsidRPr="00130C7A">
        <w:rPr>
          <w:lang w:val="fr-FR"/>
        </w:rPr>
        <w:t>n</w:t>
      </w:r>
      <w:r w:rsidR="00130C7A" w:rsidRPr="00130C7A">
        <w:rPr>
          <w:lang w:val="fr-FR"/>
        </w:rPr>
        <w:t>’</w:t>
      </w:r>
      <w:r w:rsidR="00E00185" w:rsidRPr="00130C7A">
        <w:rPr>
          <w:lang w:val="fr-FR"/>
        </w:rPr>
        <w:t>en restait pas moins qu</w:t>
      </w:r>
      <w:r w:rsidR="00130C7A" w:rsidRPr="00130C7A">
        <w:rPr>
          <w:lang w:val="fr-FR"/>
        </w:rPr>
        <w:t>’</w:t>
      </w:r>
      <w:r w:rsidR="00E00185" w:rsidRPr="00130C7A">
        <w:rPr>
          <w:lang w:val="fr-FR"/>
        </w:rPr>
        <w:t>il fallait vérifier si</w:t>
      </w:r>
      <w:r w:rsidR="001E18AA" w:rsidRPr="00130C7A">
        <w:rPr>
          <w:lang w:val="fr-FR"/>
        </w:rPr>
        <w:t xml:space="preserve"> </w:t>
      </w:r>
      <w:r w:rsidR="00EA4C16" w:rsidRPr="00130C7A">
        <w:rPr>
          <w:lang w:val="fr-FR"/>
        </w:rPr>
        <w:t>d</w:t>
      </w:r>
      <w:r w:rsidR="00E00185" w:rsidRPr="00130C7A">
        <w:rPr>
          <w:lang w:val="fr-FR"/>
        </w:rPr>
        <w:t xml:space="preserve">es responsabilités </w:t>
      </w:r>
      <w:r w:rsidR="00241B98" w:rsidRPr="00130C7A">
        <w:rPr>
          <w:lang w:val="fr-FR"/>
        </w:rPr>
        <w:t>exist</w:t>
      </w:r>
      <w:r w:rsidR="00E00185" w:rsidRPr="00130C7A">
        <w:rPr>
          <w:lang w:val="fr-FR"/>
        </w:rPr>
        <w:t xml:space="preserve">aient </w:t>
      </w:r>
      <w:r w:rsidR="008E41E2" w:rsidRPr="00130C7A">
        <w:rPr>
          <w:lang w:val="fr-FR"/>
        </w:rPr>
        <w:t xml:space="preserve">notamment </w:t>
      </w:r>
      <w:r w:rsidR="00AC3DAF" w:rsidRPr="00130C7A">
        <w:rPr>
          <w:lang w:val="fr-FR"/>
        </w:rPr>
        <w:t xml:space="preserve">quant </w:t>
      </w:r>
      <w:r w:rsidR="00963E15" w:rsidRPr="00130C7A">
        <w:rPr>
          <w:lang w:val="fr-FR"/>
        </w:rPr>
        <w:t>aux modalités de</w:t>
      </w:r>
      <w:r w:rsidR="00E00185" w:rsidRPr="00130C7A">
        <w:rPr>
          <w:lang w:val="fr-FR"/>
        </w:rPr>
        <w:t xml:space="preserve"> fourniture de</w:t>
      </w:r>
      <w:r w:rsidR="008E41E2" w:rsidRPr="00130C7A">
        <w:rPr>
          <w:lang w:val="fr-FR"/>
        </w:rPr>
        <w:t>s</w:t>
      </w:r>
      <w:r w:rsidR="00E00185" w:rsidRPr="00130C7A">
        <w:rPr>
          <w:lang w:val="fr-FR"/>
        </w:rPr>
        <w:t xml:space="preserve"> cartouche</w:t>
      </w:r>
      <w:r w:rsidR="008E41E2" w:rsidRPr="00130C7A">
        <w:rPr>
          <w:lang w:val="fr-FR"/>
        </w:rPr>
        <w:t>s</w:t>
      </w:r>
      <w:r w:rsidR="00E00185" w:rsidRPr="00130C7A">
        <w:rPr>
          <w:lang w:val="fr-FR"/>
        </w:rPr>
        <w:t xml:space="preserve"> de gaz </w:t>
      </w:r>
      <w:r w:rsidR="008618F0" w:rsidRPr="00130C7A">
        <w:rPr>
          <w:lang w:val="fr-FR"/>
        </w:rPr>
        <w:t xml:space="preserve">à la victime. Le juge </w:t>
      </w:r>
      <w:r w:rsidR="002C2B1F" w:rsidRPr="00130C7A">
        <w:rPr>
          <w:lang w:val="fr-FR"/>
        </w:rPr>
        <w:t>renvoya</w:t>
      </w:r>
      <w:r w:rsidR="00E00185" w:rsidRPr="00130C7A">
        <w:rPr>
          <w:lang w:val="fr-FR"/>
        </w:rPr>
        <w:t xml:space="preserve"> par</w:t>
      </w:r>
      <w:r w:rsidR="00AC3DAF" w:rsidRPr="00130C7A">
        <w:rPr>
          <w:lang w:val="fr-FR"/>
        </w:rPr>
        <w:t xml:space="preserve"> conséquent</w:t>
      </w:r>
      <w:r w:rsidR="00E00185" w:rsidRPr="00130C7A">
        <w:rPr>
          <w:lang w:val="fr-FR"/>
        </w:rPr>
        <w:t xml:space="preserve"> le dossier au parquet afin qu</w:t>
      </w:r>
      <w:r w:rsidR="00AC3DAF" w:rsidRPr="00130C7A">
        <w:rPr>
          <w:lang w:val="fr-FR"/>
        </w:rPr>
        <w:t>e celui-ci</w:t>
      </w:r>
      <w:r w:rsidR="00E00185" w:rsidRPr="00130C7A">
        <w:rPr>
          <w:lang w:val="fr-FR"/>
        </w:rPr>
        <w:t xml:space="preserve"> </w:t>
      </w:r>
      <w:r w:rsidR="00AC3DAF" w:rsidRPr="00130C7A">
        <w:rPr>
          <w:lang w:val="fr-FR"/>
        </w:rPr>
        <w:t>procédât aux</w:t>
      </w:r>
      <w:r w:rsidR="00E00185" w:rsidRPr="00130C7A">
        <w:rPr>
          <w:lang w:val="fr-FR"/>
        </w:rPr>
        <w:t xml:space="preserve"> vérifications nécessaires dans un délai de trois mois.</w:t>
      </w:r>
    </w:p>
    <w:p w:rsidR="00E00185" w:rsidRPr="00130C7A" w:rsidRDefault="00E00185"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23</w:t>
      </w:r>
      <w:r w:rsidRPr="00130C7A">
        <w:rPr>
          <w:lang w:val="fr-FR"/>
        </w:rPr>
        <w:fldChar w:fldCharType="end"/>
      </w:r>
      <w:r w:rsidRPr="00130C7A">
        <w:rPr>
          <w:lang w:val="fr-FR"/>
        </w:rPr>
        <w:t>.  </w:t>
      </w:r>
      <w:r w:rsidR="00E758E9" w:rsidRPr="00130C7A">
        <w:rPr>
          <w:lang w:val="fr-FR"/>
        </w:rPr>
        <w:t xml:space="preserve">Les requérants déposèrent des mémoires </w:t>
      </w:r>
      <w:r w:rsidR="0004497A" w:rsidRPr="00130C7A">
        <w:rPr>
          <w:lang w:val="fr-FR"/>
        </w:rPr>
        <w:t>le</w:t>
      </w:r>
      <w:r w:rsidR="00E758E9" w:rsidRPr="00130C7A">
        <w:rPr>
          <w:lang w:val="fr-FR"/>
        </w:rPr>
        <w:t xml:space="preserve"> 14 octobre 2009,</w:t>
      </w:r>
      <w:r w:rsidR="0004497A" w:rsidRPr="00130C7A">
        <w:rPr>
          <w:lang w:val="fr-FR"/>
        </w:rPr>
        <w:t xml:space="preserve"> le</w:t>
      </w:r>
      <w:r w:rsidR="00EE32CD" w:rsidRPr="00130C7A">
        <w:rPr>
          <w:lang w:val="fr-FR"/>
        </w:rPr>
        <w:t xml:space="preserve"> 2 </w:t>
      </w:r>
      <w:r w:rsidR="00E758E9" w:rsidRPr="00130C7A">
        <w:rPr>
          <w:lang w:val="fr-FR"/>
        </w:rPr>
        <w:t xml:space="preserve">mars </w:t>
      </w:r>
      <w:r w:rsidR="0004497A" w:rsidRPr="00130C7A">
        <w:rPr>
          <w:lang w:val="fr-FR"/>
        </w:rPr>
        <w:t xml:space="preserve">2010 </w:t>
      </w:r>
      <w:r w:rsidR="00E758E9" w:rsidRPr="00130C7A">
        <w:rPr>
          <w:lang w:val="fr-FR"/>
        </w:rPr>
        <w:t>et</w:t>
      </w:r>
      <w:r w:rsidR="0004497A" w:rsidRPr="00130C7A">
        <w:rPr>
          <w:lang w:val="fr-FR"/>
        </w:rPr>
        <w:t xml:space="preserve"> le</w:t>
      </w:r>
      <w:r w:rsidR="00E758E9" w:rsidRPr="00130C7A">
        <w:rPr>
          <w:lang w:val="fr-FR"/>
        </w:rPr>
        <w:t xml:space="preserve"> 9 avril 2010.</w:t>
      </w:r>
    </w:p>
    <w:p w:rsidR="001E18AA" w:rsidRPr="00130C7A" w:rsidRDefault="00E758E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24</w:t>
      </w:r>
      <w:r w:rsidRPr="00130C7A">
        <w:rPr>
          <w:lang w:val="fr-FR"/>
        </w:rPr>
        <w:fldChar w:fldCharType="end"/>
      </w:r>
      <w:r w:rsidRPr="00130C7A">
        <w:rPr>
          <w:lang w:val="fr-FR"/>
        </w:rPr>
        <w:t xml:space="preserve">.  Le 19 mai 2010, le parquet </w:t>
      </w:r>
      <w:r w:rsidR="00ED289F" w:rsidRPr="00130C7A">
        <w:rPr>
          <w:lang w:val="fr-FR"/>
        </w:rPr>
        <w:t>inscrivit</w:t>
      </w:r>
      <w:r w:rsidR="0004497A" w:rsidRPr="00130C7A">
        <w:rPr>
          <w:lang w:val="fr-FR"/>
        </w:rPr>
        <w:t xml:space="preserve"> </w:t>
      </w:r>
      <w:r w:rsidR="00ED289F" w:rsidRPr="00130C7A">
        <w:rPr>
          <w:lang w:val="fr-FR"/>
        </w:rPr>
        <w:t>le nom du directeur de la prison de Venise</w:t>
      </w:r>
      <w:r w:rsidR="000935D9" w:rsidRPr="00130C7A">
        <w:rPr>
          <w:lang w:val="fr-FR"/>
        </w:rPr>
        <w:t>,</w:t>
      </w:r>
      <w:r w:rsidR="0004497A" w:rsidRPr="00130C7A">
        <w:rPr>
          <w:lang w:val="fr-FR"/>
        </w:rPr>
        <w:t xml:space="preserve"> </w:t>
      </w:r>
      <w:r w:rsidR="00DE1426" w:rsidRPr="00130C7A">
        <w:rPr>
          <w:lang w:val="fr-FR"/>
        </w:rPr>
        <w:t xml:space="preserve">celui </w:t>
      </w:r>
      <w:r w:rsidR="00ED289F" w:rsidRPr="00130C7A">
        <w:rPr>
          <w:lang w:val="fr-FR"/>
        </w:rPr>
        <w:t xml:space="preserve">du responsable médical </w:t>
      </w:r>
      <w:r w:rsidR="004B1CF0" w:rsidRPr="00130C7A">
        <w:rPr>
          <w:lang w:val="fr-FR"/>
        </w:rPr>
        <w:t>de l</w:t>
      </w:r>
      <w:r w:rsidR="00130C7A" w:rsidRPr="00130C7A">
        <w:rPr>
          <w:lang w:val="fr-FR"/>
        </w:rPr>
        <w:t>’</w:t>
      </w:r>
      <w:r w:rsidR="004B1CF0" w:rsidRPr="00130C7A">
        <w:rPr>
          <w:lang w:val="fr-FR"/>
        </w:rPr>
        <w:t xml:space="preserve">établissement </w:t>
      </w:r>
      <w:r w:rsidR="00ED289F" w:rsidRPr="00130C7A">
        <w:rPr>
          <w:lang w:val="fr-FR"/>
        </w:rPr>
        <w:t xml:space="preserve">et </w:t>
      </w:r>
      <w:r w:rsidR="00DE1426" w:rsidRPr="00130C7A">
        <w:rPr>
          <w:lang w:val="fr-FR"/>
        </w:rPr>
        <w:t xml:space="preserve">celui </w:t>
      </w:r>
      <w:r w:rsidR="00ED289F" w:rsidRPr="00130C7A">
        <w:rPr>
          <w:lang w:val="fr-FR"/>
        </w:rPr>
        <w:t xml:space="preserve">du directeur des services pénitentiaires </w:t>
      </w:r>
      <w:r w:rsidR="009963D8" w:rsidRPr="00130C7A">
        <w:rPr>
          <w:lang w:val="fr-FR"/>
        </w:rPr>
        <w:t>dans le registre des personnes suspectées d</w:t>
      </w:r>
      <w:r w:rsidR="00130C7A" w:rsidRPr="00130C7A">
        <w:rPr>
          <w:lang w:val="fr-FR"/>
        </w:rPr>
        <w:t>’</w:t>
      </w:r>
      <w:r w:rsidR="009963D8" w:rsidRPr="00130C7A">
        <w:rPr>
          <w:lang w:val="fr-FR"/>
        </w:rPr>
        <w:t>avoir causé la mort d</w:t>
      </w:r>
      <w:r w:rsidR="005945AB" w:rsidRPr="00130C7A">
        <w:rPr>
          <w:lang w:val="fr-FR"/>
        </w:rPr>
        <w:t xml:space="preserve">e </w:t>
      </w:r>
      <w:r w:rsidR="009963D8" w:rsidRPr="00130C7A">
        <w:rPr>
          <w:lang w:val="fr-FR"/>
        </w:rPr>
        <w:t>A</w:t>
      </w:r>
      <w:r w:rsidR="00ED289F" w:rsidRPr="00130C7A">
        <w:rPr>
          <w:lang w:val="fr-FR"/>
        </w:rPr>
        <w:t>.</w:t>
      </w:r>
      <w:r w:rsidR="00C303A1" w:rsidRPr="00130C7A">
        <w:rPr>
          <w:lang w:val="fr-FR"/>
        </w:rPr>
        <w:t xml:space="preserve"> </w:t>
      </w:r>
      <w:r w:rsidR="003B1FF3" w:rsidRPr="00130C7A">
        <w:rPr>
          <w:lang w:val="fr-FR"/>
        </w:rPr>
        <w:t xml:space="preserve">Les faits </w:t>
      </w:r>
      <w:r w:rsidR="009C300A" w:rsidRPr="00130C7A">
        <w:rPr>
          <w:lang w:val="fr-FR"/>
        </w:rPr>
        <w:t>furent</w:t>
      </w:r>
      <w:r w:rsidR="003B1FF3" w:rsidRPr="00130C7A">
        <w:rPr>
          <w:lang w:val="fr-FR"/>
        </w:rPr>
        <w:t xml:space="preserve"> </w:t>
      </w:r>
      <w:r w:rsidR="005758B2" w:rsidRPr="00130C7A">
        <w:rPr>
          <w:lang w:val="fr-FR"/>
        </w:rPr>
        <w:t>qualifiés</w:t>
      </w:r>
      <w:r w:rsidR="00C303A1" w:rsidRPr="00130C7A">
        <w:rPr>
          <w:lang w:val="fr-FR"/>
        </w:rPr>
        <w:t xml:space="preserve"> d</w:t>
      </w:r>
      <w:r w:rsidR="00130C7A" w:rsidRPr="00130C7A">
        <w:rPr>
          <w:lang w:val="fr-FR"/>
        </w:rPr>
        <w:t>’</w:t>
      </w:r>
      <w:r w:rsidR="00C303A1" w:rsidRPr="00130C7A">
        <w:rPr>
          <w:lang w:val="fr-FR"/>
        </w:rPr>
        <w:t>homicide involontaire au</w:t>
      </w:r>
      <w:r w:rsidR="005758B2" w:rsidRPr="00130C7A">
        <w:rPr>
          <w:lang w:val="fr-FR"/>
        </w:rPr>
        <w:t xml:space="preserve"> sens</w:t>
      </w:r>
      <w:r w:rsidR="00C303A1" w:rsidRPr="00130C7A">
        <w:rPr>
          <w:lang w:val="fr-FR"/>
        </w:rPr>
        <w:t xml:space="preserve"> de l</w:t>
      </w:r>
      <w:r w:rsidR="00130C7A" w:rsidRPr="00130C7A">
        <w:rPr>
          <w:lang w:val="fr-FR"/>
        </w:rPr>
        <w:t>’</w:t>
      </w:r>
      <w:r w:rsidR="00C303A1" w:rsidRPr="00130C7A">
        <w:rPr>
          <w:lang w:val="fr-FR"/>
        </w:rPr>
        <w:t>article 589 du code pénal.</w:t>
      </w:r>
    </w:p>
    <w:p w:rsidR="001E0028" w:rsidRPr="00130C7A" w:rsidRDefault="005B78E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25</w:t>
      </w:r>
      <w:r w:rsidRPr="00130C7A">
        <w:rPr>
          <w:lang w:val="fr-FR"/>
        </w:rPr>
        <w:fldChar w:fldCharType="end"/>
      </w:r>
      <w:r w:rsidRPr="00130C7A">
        <w:rPr>
          <w:lang w:val="fr-FR"/>
        </w:rPr>
        <w:t>.  </w:t>
      </w:r>
      <w:r w:rsidR="00603346" w:rsidRPr="00130C7A">
        <w:rPr>
          <w:lang w:val="fr-FR"/>
        </w:rPr>
        <w:t>Le</w:t>
      </w:r>
      <w:r w:rsidR="00A02493" w:rsidRPr="00130C7A">
        <w:rPr>
          <w:lang w:val="fr-FR"/>
        </w:rPr>
        <w:t xml:space="preserve"> parquet </w:t>
      </w:r>
      <w:r w:rsidR="00945A88" w:rsidRPr="00130C7A">
        <w:rPr>
          <w:lang w:val="fr-FR"/>
        </w:rPr>
        <w:t>interrogea l</w:t>
      </w:r>
      <w:r w:rsidR="00A02493" w:rsidRPr="00130C7A">
        <w:rPr>
          <w:lang w:val="fr-FR"/>
        </w:rPr>
        <w:t>es</w:t>
      </w:r>
      <w:r w:rsidR="00603346" w:rsidRPr="00130C7A">
        <w:rPr>
          <w:lang w:val="fr-FR"/>
        </w:rPr>
        <w:t xml:space="preserve"> prévenus</w:t>
      </w:r>
      <w:r w:rsidR="00945A88" w:rsidRPr="00130C7A">
        <w:rPr>
          <w:lang w:val="fr-FR"/>
        </w:rPr>
        <w:t xml:space="preserve">, dont le </w:t>
      </w:r>
      <w:r w:rsidRPr="00130C7A">
        <w:rPr>
          <w:lang w:val="fr-FR"/>
        </w:rPr>
        <w:t>directeur des services pénitentiaires</w:t>
      </w:r>
      <w:r w:rsidR="002C5A4A" w:rsidRPr="00130C7A">
        <w:rPr>
          <w:lang w:val="fr-FR"/>
        </w:rPr>
        <w:t xml:space="preserve"> de la prison de </w:t>
      </w:r>
      <w:r w:rsidR="00BD0199" w:rsidRPr="00130C7A">
        <w:rPr>
          <w:lang w:val="fr-FR"/>
        </w:rPr>
        <w:t>Venise</w:t>
      </w:r>
      <w:r w:rsidR="00945A88" w:rsidRPr="00130C7A">
        <w:rPr>
          <w:lang w:val="fr-FR"/>
        </w:rPr>
        <w:t xml:space="preserve"> le 24 mai 2010</w:t>
      </w:r>
      <w:r w:rsidR="002C5A4A" w:rsidRPr="00130C7A">
        <w:rPr>
          <w:lang w:val="fr-FR"/>
        </w:rPr>
        <w:t>.</w:t>
      </w:r>
    </w:p>
    <w:p w:rsidR="00F2377B" w:rsidRPr="00130C7A" w:rsidRDefault="00F2377B"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26</w:t>
      </w:r>
      <w:r w:rsidRPr="00130C7A">
        <w:rPr>
          <w:lang w:val="fr-FR"/>
        </w:rPr>
        <w:fldChar w:fldCharType="end"/>
      </w:r>
      <w:r w:rsidRPr="00130C7A">
        <w:rPr>
          <w:lang w:val="fr-FR"/>
        </w:rPr>
        <w:t>.  Le</w:t>
      </w:r>
      <w:r w:rsidR="00B9318C" w:rsidRPr="00130C7A">
        <w:rPr>
          <w:lang w:val="fr-FR"/>
        </w:rPr>
        <w:t>s</w:t>
      </w:r>
      <w:r w:rsidRPr="00130C7A">
        <w:rPr>
          <w:lang w:val="fr-FR"/>
        </w:rPr>
        <w:t xml:space="preserve"> 22 février 2011 et 14 mai 2012, les requérants sollicitèrent la clôture des investigations</w:t>
      </w:r>
      <w:r w:rsidR="00963E15" w:rsidRPr="00130C7A">
        <w:rPr>
          <w:lang w:val="fr-FR"/>
        </w:rPr>
        <w:t xml:space="preserve"> prélimi</w:t>
      </w:r>
      <w:r w:rsidR="00F151AB" w:rsidRPr="00130C7A">
        <w:rPr>
          <w:lang w:val="fr-FR"/>
        </w:rPr>
        <w:t>naires et le renvoi des suspect</w:t>
      </w:r>
      <w:r w:rsidR="00963E15" w:rsidRPr="00130C7A">
        <w:rPr>
          <w:lang w:val="fr-FR"/>
        </w:rPr>
        <w:t>s devant un juge</w:t>
      </w:r>
      <w:r w:rsidRPr="00130C7A">
        <w:rPr>
          <w:lang w:val="fr-FR"/>
        </w:rPr>
        <w:t>.</w:t>
      </w:r>
    </w:p>
    <w:p w:rsidR="001E0028" w:rsidRPr="00130C7A" w:rsidRDefault="00F2377B"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27</w:t>
      </w:r>
      <w:r w:rsidRPr="00130C7A">
        <w:rPr>
          <w:lang w:val="fr-FR"/>
        </w:rPr>
        <w:fldChar w:fldCharType="end"/>
      </w:r>
      <w:r w:rsidRPr="00130C7A">
        <w:rPr>
          <w:lang w:val="fr-FR"/>
        </w:rPr>
        <w:t>.  </w:t>
      </w:r>
      <w:r w:rsidR="00F81226" w:rsidRPr="00130C7A">
        <w:rPr>
          <w:lang w:val="fr-FR"/>
        </w:rPr>
        <w:t>Le 25 juillet 2012, l</w:t>
      </w:r>
      <w:r w:rsidRPr="00130C7A">
        <w:rPr>
          <w:lang w:val="fr-FR"/>
        </w:rPr>
        <w:t xml:space="preserve">e parquet demanda à nouveau le classement </w:t>
      </w:r>
      <w:r w:rsidR="00F81226" w:rsidRPr="00130C7A">
        <w:rPr>
          <w:lang w:val="fr-FR"/>
        </w:rPr>
        <w:t xml:space="preserve">sans suite </w:t>
      </w:r>
      <w:r w:rsidRPr="00130C7A">
        <w:rPr>
          <w:lang w:val="fr-FR"/>
        </w:rPr>
        <w:t>de la procédure</w:t>
      </w:r>
      <w:r w:rsidR="00F56FE1" w:rsidRPr="00130C7A">
        <w:rPr>
          <w:lang w:val="fr-FR"/>
        </w:rPr>
        <w:t xml:space="preserve">. </w:t>
      </w:r>
      <w:r w:rsidR="002C5A4A" w:rsidRPr="00130C7A">
        <w:rPr>
          <w:lang w:val="fr-FR"/>
        </w:rPr>
        <w:t xml:space="preserve">Il </w:t>
      </w:r>
      <w:r w:rsidR="00B9318C" w:rsidRPr="00130C7A">
        <w:rPr>
          <w:lang w:val="fr-FR"/>
        </w:rPr>
        <w:t>indiqua tout d</w:t>
      </w:r>
      <w:r w:rsidR="00130C7A" w:rsidRPr="00130C7A">
        <w:rPr>
          <w:lang w:val="fr-FR"/>
        </w:rPr>
        <w:t>’</w:t>
      </w:r>
      <w:r w:rsidR="00B9318C" w:rsidRPr="00130C7A">
        <w:rPr>
          <w:lang w:val="fr-FR"/>
        </w:rPr>
        <w:t>abord</w:t>
      </w:r>
      <w:r w:rsidR="00A03261" w:rsidRPr="00130C7A">
        <w:rPr>
          <w:lang w:val="fr-FR"/>
        </w:rPr>
        <w:t xml:space="preserve"> que les</w:t>
      </w:r>
      <w:r w:rsidR="00002669" w:rsidRPr="00130C7A">
        <w:rPr>
          <w:lang w:val="fr-FR"/>
        </w:rPr>
        <w:t xml:space="preserve"> expertises</w:t>
      </w:r>
      <w:r w:rsidR="00A03261" w:rsidRPr="00130C7A">
        <w:rPr>
          <w:lang w:val="fr-FR"/>
        </w:rPr>
        <w:t xml:space="preserve"> n</w:t>
      </w:r>
      <w:r w:rsidR="00130C7A" w:rsidRPr="00130C7A">
        <w:rPr>
          <w:lang w:val="fr-FR"/>
        </w:rPr>
        <w:t>’</w:t>
      </w:r>
      <w:r w:rsidR="00A03261" w:rsidRPr="00130C7A">
        <w:rPr>
          <w:lang w:val="fr-FR"/>
        </w:rPr>
        <w:t>avai</w:t>
      </w:r>
      <w:r w:rsidR="00002669" w:rsidRPr="00130C7A">
        <w:rPr>
          <w:lang w:val="fr-FR"/>
        </w:rPr>
        <w:t>en</w:t>
      </w:r>
      <w:r w:rsidR="00A03261" w:rsidRPr="00130C7A">
        <w:rPr>
          <w:lang w:val="fr-FR"/>
        </w:rPr>
        <w:t xml:space="preserve">t pas permis </w:t>
      </w:r>
      <w:r w:rsidR="00652646" w:rsidRPr="00130C7A">
        <w:rPr>
          <w:lang w:val="fr-FR"/>
        </w:rPr>
        <w:t>d</w:t>
      </w:r>
      <w:r w:rsidR="00130C7A" w:rsidRPr="00130C7A">
        <w:rPr>
          <w:lang w:val="fr-FR"/>
        </w:rPr>
        <w:t>’</w:t>
      </w:r>
      <w:r w:rsidR="00652646" w:rsidRPr="00130C7A">
        <w:rPr>
          <w:lang w:val="fr-FR"/>
        </w:rPr>
        <w:t>établir</w:t>
      </w:r>
      <w:r w:rsidR="00A03261" w:rsidRPr="00130C7A">
        <w:rPr>
          <w:lang w:val="fr-FR"/>
        </w:rPr>
        <w:t xml:space="preserve"> </w:t>
      </w:r>
      <w:r w:rsidR="00EA4C16" w:rsidRPr="00130C7A">
        <w:rPr>
          <w:lang w:val="fr-FR"/>
        </w:rPr>
        <w:t xml:space="preserve">avec certitude que le décès avait été causé </w:t>
      </w:r>
      <w:r w:rsidR="00A03261" w:rsidRPr="00130C7A">
        <w:rPr>
          <w:lang w:val="fr-FR"/>
        </w:rPr>
        <w:t>par l</w:t>
      </w:r>
      <w:r w:rsidR="00130C7A" w:rsidRPr="00130C7A">
        <w:rPr>
          <w:lang w:val="fr-FR"/>
        </w:rPr>
        <w:t>’</w:t>
      </w:r>
      <w:r w:rsidR="00A03261" w:rsidRPr="00130C7A">
        <w:rPr>
          <w:lang w:val="fr-FR"/>
        </w:rPr>
        <w:t xml:space="preserve">inhalation </w:t>
      </w:r>
      <w:r w:rsidR="00EA4C16" w:rsidRPr="00130C7A">
        <w:rPr>
          <w:lang w:val="fr-FR"/>
        </w:rPr>
        <w:t>du gaz.</w:t>
      </w:r>
      <w:r w:rsidR="00652646" w:rsidRPr="00130C7A">
        <w:rPr>
          <w:lang w:val="fr-FR"/>
        </w:rPr>
        <w:t xml:space="preserve"> </w:t>
      </w:r>
      <w:r w:rsidR="00B9318C" w:rsidRPr="00130C7A">
        <w:rPr>
          <w:lang w:val="fr-FR"/>
        </w:rPr>
        <w:t>Il indiqua en outre qu</w:t>
      </w:r>
      <w:r w:rsidR="00130C7A" w:rsidRPr="00130C7A">
        <w:rPr>
          <w:lang w:val="fr-FR"/>
        </w:rPr>
        <w:t>’</w:t>
      </w:r>
      <w:r w:rsidR="009C5F34" w:rsidRPr="00130C7A">
        <w:rPr>
          <w:lang w:val="fr-FR"/>
        </w:rPr>
        <w:t>il ressortait des investigations que</w:t>
      </w:r>
      <w:r w:rsidR="002C5A4A" w:rsidRPr="00130C7A">
        <w:rPr>
          <w:lang w:val="fr-FR"/>
        </w:rPr>
        <w:t xml:space="preserve"> la consommation de</w:t>
      </w:r>
      <w:r w:rsidR="00B9318C" w:rsidRPr="00130C7A">
        <w:rPr>
          <w:lang w:val="fr-FR"/>
        </w:rPr>
        <w:t>s</w:t>
      </w:r>
      <w:r w:rsidR="002C5A4A" w:rsidRPr="00130C7A">
        <w:rPr>
          <w:lang w:val="fr-FR"/>
        </w:rPr>
        <w:t xml:space="preserve"> cartouche</w:t>
      </w:r>
      <w:r w:rsidR="00B9318C" w:rsidRPr="00130C7A">
        <w:rPr>
          <w:lang w:val="fr-FR"/>
        </w:rPr>
        <w:t>s</w:t>
      </w:r>
      <w:r w:rsidR="002C5A4A" w:rsidRPr="00130C7A">
        <w:rPr>
          <w:lang w:val="fr-FR"/>
        </w:rPr>
        <w:t xml:space="preserve"> de gaz</w:t>
      </w:r>
      <w:r w:rsidR="00002669" w:rsidRPr="00130C7A">
        <w:rPr>
          <w:lang w:val="fr-FR"/>
        </w:rPr>
        <w:t xml:space="preserve"> </w:t>
      </w:r>
      <w:r w:rsidR="00B9318C" w:rsidRPr="00130C7A">
        <w:rPr>
          <w:lang w:val="fr-FR"/>
        </w:rPr>
        <w:t>par</w:t>
      </w:r>
      <w:r w:rsidR="005945AB" w:rsidRPr="00130C7A">
        <w:rPr>
          <w:lang w:val="fr-FR"/>
        </w:rPr>
        <w:t xml:space="preserve"> </w:t>
      </w:r>
      <w:r w:rsidR="00002669" w:rsidRPr="00130C7A">
        <w:rPr>
          <w:lang w:val="fr-FR"/>
        </w:rPr>
        <w:t>A.</w:t>
      </w:r>
      <w:r w:rsidR="002C5A4A" w:rsidRPr="00130C7A">
        <w:rPr>
          <w:lang w:val="fr-FR"/>
        </w:rPr>
        <w:t xml:space="preserve"> </w:t>
      </w:r>
      <w:r w:rsidR="00652646" w:rsidRPr="00130C7A">
        <w:rPr>
          <w:lang w:val="fr-FR"/>
        </w:rPr>
        <w:t>était</w:t>
      </w:r>
      <w:r w:rsidR="002C5A4A" w:rsidRPr="00130C7A">
        <w:rPr>
          <w:lang w:val="fr-FR"/>
        </w:rPr>
        <w:t xml:space="preserve"> </w:t>
      </w:r>
      <w:r w:rsidR="00DE541A" w:rsidRPr="00130C7A">
        <w:rPr>
          <w:lang w:val="fr-FR"/>
        </w:rPr>
        <w:t xml:space="preserve">comparable </w:t>
      </w:r>
      <w:r w:rsidR="009C5F34" w:rsidRPr="00130C7A">
        <w:rPr>
          <w:lang w:val="fr-FR"/>
        </w:rPr>
        <w:t>à</w:t>
      </w:r>
      <w:r w:rsidR="00DE541A" w:rsidRPr="00130C7A">
        <w:rPr>
          <w:lang w:val="fr-FR"/>
        </w:rPr>
        <w:t xml:space="preserve"> celle</w:t>
      </w:r>
      <w:r w:rsidR="002C5A4A" w:rsidRPr="00130C7A">
        <w:rPr>
          <w:lang w:val="fr-FR"/>
        </w:rPr>
        <w:t xml:space="preserve"> </w:t>
      </w:r>
      <w:r w:rsidR="00E25DA9" w:rsidRPr="00130C7A">
        <w:rPr>
          <w:lang w:val="fr-FR"/>
        </w:rPr>
        <w:t>des autres détenus</w:t>
      </w:r>
      <w:r w:rsidR="00652646" w:rsidRPr="00130C7A">
        <w:rPr>
          <w:lang w:val="fr-FR"/>
        </w:rPr>
        <w:t xml:space="preserve"> de la prison</w:t>
      </w:r>
      <w:r w:rsidR="00317362" w:rsidRPr="00130C7A">
        <w:rPr>
          <w:lang w:val="fr-FR"/>
        </w:rPr>
        <w:t xml:space="preserve">, soit en moyenne </w:t>
      </w:r>
      <w:r w:rsidR="00B9318C" w:rsidRPr="00130C7A">
        <w:rPr>
          <w:lang w:val="fr-FR"/>
        </w:rPr>
        <w:t>deux</w:t>
      </w:r>
      <w:r w:rsidR="00A93DCD" w:rsidRPr="00130C7A">
        <w:rPr>
          <w:lang w:val="fr-FR"/>
        </w:rPr>
        <w:t xml:space="preserve"> cartouches</w:t>
      </w:r>
      <w:r w:rsidR="00E20788" w:rsidRPr="00130C7A">
        <w:rPr>
          <w:lang w:val="fr-FR"/>
        </w:rPr>
        <w:t xml:space="preserve"> entre deux commandes</w:t>
      </w:r>
      <w:r w:rsidR="009C5F34" w:rsidRPr="00130C7A">
        <w:rPr>
          <w:lang w:val="fr-FR"/>
        </w:rPr>
        <w:t xml:space="preserve">. </w:t>
      </w:r>
      <w:r w:rsidR="00B9318C" w:rsidRPr="00130C7A">
        <w:rPr>
          <w:lang w:val="fr-FR"/>
        </w:rPr>
        <w:t>Il ajouta que</w:t>
      </w:r>
      <w:r w:rsidR="009C5F34" w:rsidRPr="00130C7A">
        <w:rPr>
          <w:lang w:val="fr-FR"/>
        </w:rPr>
        <w:t xml:space="preserve"> ladite consommation </w:t>
      </w:r>
      <w:r w:rsidR="00A7703B" w:rsidRPr="00130C7A">
        <w:rPr>
          <w:lang w:val="fr-FR"/>
        </w:rPr>
        <w:t>n</w:t>
      </w:r>
      <w:r w:rsidR="00130C7A" w:rsidRPr="00130C7A">
        <w:rPr>
          <w:lang w:val="fr-FR"/>
        </w:rPr>
        <w:t>’</w:t>
      </w:r>
      <w:r w:rsidR="00A7703B" w:rsidRPr="00130C7A">
        <w:rPr>
          <w:lang w:val="fr-FR"/>
        </w:rPr>
        <w:t xml:space="preserve">avait pas augmenté dans les </w:t>
      </w:r>
      <w:r w:rsidR="00A7703B" w:rsidRPr="00130C7A">
        <w:rPr>
          <w:lang w:val="fr-FR"/>
        </w:rPr>
        <w:lastRenderedPageBreak/>
        <w:t xml:space="preserve">jours </w:t>
      </w:r>
      <w:r w:rsidR="00B9318C" w:rsidRPr="00130C7A">
        <w:rPr>
          <w:lang w:val="fr-FR"/>
        </w:rPr>
        <w:t xml:space="preserve">ayant </w:t>
      </w:r>
      <w:r w:rsidR="00A7703B" w:rsidRPr="00130C7A">
        <w:rPr>
          <w:lang w:val="fr-FR"/>
        </w:rPr>
        <w:t>précéd</w:t>
      </w:r>
      <w:r w:rsidR="00B9318C" w:rsidRPr="00130C7A">
        <w:rPr>
          <w:lang w:val="fr-FR"/>
        </w:rPr>
        <w:t>é</w:t>
      </w:r>
      <w:r w:rsidR="00A7703B" w:rsidRPr="00130C7A">
        <w:rPr>
          <w:lang w:val="fr-FR"/>
        </w:rPr>
        <w:t xml:space="preserve"> </w:t>
      </w:r>
      <w:r w:rsidR="009C5F34" w:rsidRPr="00130C7A">
        <w:rPr>
          <w:lang w:val="fr-FR"/>
        </w:rPr>
        <w:t>le</w:t>
      </w:r>
      <w:r w:rsidR="00A7703B" w:rsidRPr="00130C7A">
        <w:rPr>
          <w:lang w:val="fr-FR"/>
        </w:rPr>
        <w:t xml:space="preserve"> décès, </w:t>
      </w:r>
      <w:r w:rsidR="00B9318C" w:rsidRPr="00130C7A">
        <w:rPr>
          <w:lang w:val="fr-FR"/>
        </w:rPr>
        <w:t>un</w:t>
      </w:r>
      <w:r w:rsidR="00A7703B" w:rsidRPr="00130C7A">
        <w:rPr>
          <w:lang w:val="fr-FR"/>
        </w:rPr>
        <w:t xml:space="preserve"> dernier achat</w:t>
      </w:r>
      <w:r w:rsidR="00B9318C" w:rsidRPr="00130C7A">
        <w:rPr>
          <w:lang w:val="fr-FR"/>
        </w:rPr>
        <w:t>,</w:t>
      </w:r>
      <w:r w:rsidR="00A7703B" w:rsidRPr="00130C7A">
        <w:rPr>
          <w:lang w:val="fr-FR"/>
        </w:rPr>
        <w:t xml:space="preserve"> de </w:t>
      </w:r>
      <w:r w:rsidR="00B9318C" w:rsidRPr="00130C7A">
        <w:rPr>
          <w:lang w:val="fr-FR"/>
        </w:rPr>
        <w:t>trois</w:t>
      </w:r>
      <w:r w:rsidR="00A7703B" w:rsidRPr="00130C7A">
        <w:rPr>
          <w:lang w:val="fr-FR"/>
        </w:rPr>
        <w:t xml:space="preserve"> cartouches</w:t>
      </w:r>
      <w:r w:rsidR="00B9318C" w:rsidRPr="00130C7A">
        <w:rPr>
          <w:lang w:val="fr-FR"/>
        </w:rPr>
        <w:t>,</w:t>
      </w:r>
      <w:r w:rsidR="00A7703B" w:rsidRPr="00130C7A">
        <w:rPr>
          <w:lang w:val="fr-FR"/>
        </w:rPr>
        <w:t xml:space="preserve"> </w:t>
      </w:r>
      <w:r w:rsidR="00DE541A" w:rsidRPr="00130C7A">
        <w:rPr>
          <w:lang w:val="fr-FR"/>
        </w:rPr>
        <w:t>ayant été</w:t>
      </w:r>
      <w:r w:rsidR="00A7703B" w:rsidRPr="00130C7A">
        <w:rPr>
          <w:lang w:val="fr-FR"/>
        </w:rPr>
        <w:t xml:space="preserve"> effectué le 16 mai</w:t>
      </w:r>
      <w:r w:rsidR="00DE541A" w:rsidRPr="00130C7A">
        <w:rPr>
          <w:lang w:val="fr-FR"/>
        </w:rPr>
        <w:t xml:space="preserve"> 2005</w:t>
      </w:r>
      <w:r w:rsidR="00A7703B" w:rsidRPr="00130C7A">
        <w:rPr>
          <w:lang w:val="fr-FR"/>
        </w:rPr>
        <w:t>, soit quatorze jours avant les faits</w:t>
      </w:r>
      <w:r w:rsidR="00652646" w:rsidRPr="00130C7A">
        <w:rPr>
          <w:lang w:val="fr-FR"/>
        </w:rPr>
        <w:t>.</w:t>
      </w:r>
    </w:p>
    <w:p w:rsidR="001E0028" w:rsidRPr="00130C7A" w:rsidRDefault="009963D8"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28</w:t>
      </w:r>
      <w:r w:rsidRPr="00130C7A">
        <w:rPr>
          <w:lang w:val="fr-FR"/>
        </w:rPr>
        <w:fldChar w:fldCharType="end"/>
      </w:r>
      <w:r w:rsidRPr="00130C7A">
        <w:rPr>
          <w:lang w:val="fr-FR"/>
        </w:rPr>
        <w:t>.  </w:t>
      </w:r>
      <w:r w:rsidR="001F28E4" w:rsidRPr="00130C7A">
        <w:rPr>
          <w:lang w:val="fr-FR"/>
        </w:rPr>
        <w:t xml:space="preserve">Le 21 septembre 2012, les requérants </w:t>
      </w:r>
      <w:r w:rsidR="001C549F" w:rsidRPr="00130C7A">
        <w:rPr>
          <w:lang w:val="fr-FR"/>
        </w:rPr>
        <w:t>s</w:t>
      </w:r>
      <w:r w:rsidR="00130C7A" w:rsidRPr="00130C7A">
        <w:rPr>
          <w:lang w:val="fr-FR"/>
        </w:rPr>
        <w:t>’</w:t>
      </w:r>
      <w:r w:rsidR="001C549F" w:rsidRPr="00130C7A">
        <w:rPr>
          <w:lang w:val="fr-FR"/>
        </w:rPr>
        <w:t>oppos</w:t>
      </w:r>
      <w:r w:rsidR="003A2765" w:rsidRPr="00130C7A">
        <w:rPr>
          <w:lang w:val="fr-FR"/>
        </w:rPr>
        <w:t>èrent</w:t>
      </w:r>
      <w:r w:rsidRPr="00130C7A">
        <w:rPr>
          <w:lang w:val="fr-FR"/>
        </w:rPr>
        <w:t xml:space="preserve"> au classement</w:t>
      </w:r>
      <w:r w:rsidR="00E17E42" w:rsidRPr="00130C7A">
        <w:rPr>
          <w:lang w:val="fr-FR"/>
        </w:rPr>
        <w:t xml:space="preserve"> de la procédure</w:t>
      </w:r>
      <w:r w:rsidR="001C549F" w:rsidRPr="00130C7A">
        <w:rPr>
          <w:lang w:val="fr-FR"/>
        </w:rPr>
        <w:t>.</w:t>
      </w:r>
      <w:r w:rsidR="001360A7" w:rsidRPr="00130C7A">
        <w:rPr>
          <w:lang w:val="fr-FR"/>
        </w:rPr>
        <w:t xml:space="preserve"> Le juge des investigations préliminaires fixa une audience </w:t>
      </w:r>
      <w:r w:rsidR="003A2765" w:rsidRPr="00130C7A">
        <w:rPr>
          <w:lang w:val="fr-FR"/>
        </w:rPr>
        <w:t>au</w:t>
      </w:r>
      <w:r w:rsidR="001360A7" w:rsidRPr="00130C7A">
        <w:rPr>
          <w:lang w:val="fr-FR"/>
        </w:rPr>
        <w:t xml:space="preserve"> 29 novembre 2012. Le 10 octobre 2012, le</w:t>
      </w:r>
      <w:r w:rsidR="003A2765" w:rsidRPr="00130C7A">
        <w:rPr>
          <w:lang w:val="fr-FR"/>
        </w:rPr>
        <w:t>s</w:t>
      </w:r>
      <w:r w:rsidR="001360A7" w:rsidRPr="00130C7A">
        <w:rPr>
          <w:lang w:val="fr-FR"/>
        </w:rPr>
        <w:t xml:space="preserve"> requérant</w:t>
      </w:r>
      <w:r w:rsidR="003A2765" w:rsidRPr="00130C7A">
        <w:rPr>
          <w:lang w:val="fr-FR"/>
        </w:rPr>
        <w:t>s demandèrent</w:t>
      </w:r>
      <w:r w:rsidR="001360A7" w:rsidRPr="00130C7A">
        <w:rPr>
          <w:lang w:val="fr-FR"/>
        </w:rPr>
        <w:t xml:space="preserve"> </w:t>
      </w:r>
      <w:r w:rsidR="00F51482" w:rsidRPr="00130C7A">
        <w:rPr>
          <w:lang w:val="fr-FR"/>
        </w:rPr>
        <w:t xml:space="preserve">à </w:t>
      </w:r>
      <w:r w:rsidR="00147804" w:rsidRPr="00130C7A">
        <w:rPr>
          <w:lang w:val="fr-FR"/>
        </w:rPr>
        <w:t>ce que l</w:t>
      </w:r>
      <w:r w:rsidR="00130C7A" w:rsidRPr="00130C7A">
        <w:rPr>
          <w:lang w:val="fr-FR"/>
        </w:rPr>
        <w:t>’</w:t>
      </w:r>
      <w:r w:rsidR="00147804" w:rsidRPr="00130C7A">
        <w:rPr>
          <w:lang w:val="fr-FR"/>
        </w:rPr>
        <w:t xml:space="preserve">audience fût </w:t>
      </w:r>
      <w:r w:rsidR="00F51482" w:rsidRPr="00130C7A">
        <w:rPr>
          <w:lang w:val="fr-FR"/>
        </w:rPr>
        <w:t>avanc</w:t>
      </w:r>
      <w:r w:rsidR="00147804" w:rsidRPr="00130C7A">
        <w:rPr>
          <w:lang w:val="fr-FR"/>
        </w:rPr>
        <w:t>ée</w:t>
      </w:r>
      <w:r w:rsidR="00F51482" w:rsidRPr="00130C7A">
        <w:rPr>
          <w:lang w:val="fr-FR"/>
        </w:rPr>
        <w:t xml:space="preserve"> en raison de </w:t>
      </w:r>
      <w:r w:rsidR="00CB4117" w:rsidRPr="00130C7A">
        <w:rPr>
          <w:lang w:val="fr-FR"/>
        </w:rPr>
        <w:t xml:space="preserve">la prescription imminente des faits. Le juge rejeta </w:t>
      </w:r>
      <w:r w:rsidR="00147804" w:rsidRPr="00130C7A">
        <w:rPr>
          <w:lang w:val="fr-FR"/>
        </w:rPr>
        <w:t>cette</w:t>
      </w:r>
      <w:r w:rsidR="00CB4117" w:rsidRPr="00130C7A">
        <w:rPr>
          <w:lang w:val="fr-FR"/>
        </w:rPr>
        <w:t xml:space="preserve"> demande au motif que l</w:t>
      </w:r>
      <w:r w:rsidR="00130C7A" w:rsidRPr="00130C7A">
        <w:rPr>
          <w:lang w:val="fr-FR"/>
        </w:rPr>
        <w:t>’</w:t>
      </w:r>
      <w:r w:rsidR="00CB4117" w:rsidRPr="00130C7A">
        <w:rPr>
          <w:lang w:val="fr-FR"/>
        </w:rPr>
        <w:t>avis de fixation d</w:t>
      </w:r>
      <w:r w:rsidR="00FD19A5" w:rsidRPr="00130C7A">
        <w:rPr>
          <w:lang w:val="fr-FR"/>
        </w:rPr>
        <w:t>e l</w:t>
      </w:r>
      <w:r w:rsidR="00130C7A" w:rsidRPr="00130C7A">
        <w:rPr>
          <w:lang w:val="fr-FR"/>
        </w:rPr>
        <w:t>’</w:t>
      </w:r>
      <w:r w:rsidR="00CB4117" w:rsidRPr="00130C7A">
        <w:rPr>
          <w:lang w:val="fr-FR"/>
        </w:rPr>
        <w:t>audience avait déjà été notifié au</w:t>
      </w:r>
      <w:r w:rsidR="003477BF" w:rsidRPr="00130C7A">
        <w:rPr>
          <w:lang w:val="fr-FR"/>
        </w:rPr>
        <w:t>x</w:t>
      </w:r>
      <w:r w:rsidR="00CB4117" w:rsidRPr="00130C7A">
        <w:rPr>
          <w:lang w:val="fr-FR"/>
        </w:rPr>
        <w:t xml:space="preserve"> parties.</w:t>
      </w:r>
    </w:p>
    <w:p w:rsidR="00775C5B" w:rsidRPr="00130C7A" w:rsidRDefault="00CB4117"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29</w:t>
      </w:r>
      <w:r w:rsidRPr="00130C7A">
        <w:rPr>
          <w:lang w:val="fr-FR"/>
        </w:rPr>
        <w:fldChar w:fldCharType="end"/>
      </w:r>
      <w:r w:rsidRPr="00130C7A">
        <w:rPr>
          <w:lang w:val="fr-FR"/>
        </w:rPr>
        <w:t>.  </w:t>
      </w:r>
      <w:r w:rsidR="001360A7" w:rsidRPr="00130C7A">
        <w:rPr>
          <w:lang w:val="fr-FR"/>
        </w:rPr>
        <w:t xml:space="preserve">Par une décision du </w:t>
      </w:r>
      <w:r w:rsidR="00E30AF7" w:rsidRPr="00130C7A">
        <w:rPr>
          <w:lang w:val="fr-FR"/>
        </w:rPr>
        <w:t>6 décembre 2012</w:t>
      </w:r>
      <w:r w:rsidR="009963D8" w:rsidRPr="00130C7A">
        <w:rPr>
          <w:lang w:val="fr-FR"/>
        </w:rPr>
        <w:t>, le juge des investigations préliminaires classa la procédure</w:t>
      </w:r>
      <w:r w:rsidR="0075770F" w:rsidRPr="00130C7A">
        <w:rPr>
          <w:lang w:val="fr-FR"/>
        </w:rPr>
        <w:t xml:space="preserve"> sans suite</w:t>
      </w:r>
      <w:r w:rsidR="009963D8" w:rsidRPr="00130C7A">
        <w:rPr>
          <w:lang w:val="fr-FR"/>
        </w:rPr>
        <w:t xml:space="preserve"> </w:t>
      </w:r>
      <w:r w:rsidR="0075770F" w:rsidRPr="00130C7A">
        <w:rPr>
          <w:lang w:val="fr-FR"/>
        </w:rPr>
        <w:t>au motif</w:t>
      </w:r>
      <w:r w:rsidR="00F51482" w:rsidRPr="00130C7A">
        <w:rPr>
          <w:lang w:val="fr-FR"/>
        </w:rPr>
        <w:t xml:space="preserve"> que</w:t>
      </w:r>
      <w:r w:rsidR="009963D8" w:rsidRPr="00130C7A">
        <w:rPr>
          <w:lang w:val="fr-FR"/>
        </w:rPr>
        <w:t xml:space="preserve"> les </w:t>
      </w:r>
      <w:r w:rsidR="00220859" w:rsidRPr="00130C7A">
        <w:rPr>
          <w:lang w:val="fr-FR"/>
        </w:rPr>
        <w:t>faits</w:t>
      </w:r>
      <w:r w:rsidR="009963D8" w:rsidRPr="00130C7A">
        <w:rPr>
          <w:lang w:val="fr-FR"/>
        </w:rPr>
        <w:t xml:space="preserve"> </w:t>
      </w:r>
      <w:r w:rsidR="003937A2" w:rsidRPr="00130C7A">
        <w:rPr>
          <w:lang w:val="fr-FR"/>
        </w:rPr>
        <w:t xml:space="preserve">étaient prescrits </w:t>
      </w:r>
      <w:r w:rsidR="00EB7A8A" w:rsidRPr="00130C7A">
        <w:rPr>
          <w:lang w:val="fr-FR"/>
        </w:rPr>
        <w:t xml:space="preserve">depuis </w:t>
      </w:r>
      <w:r w:rsidR="003937A2" w:rsidRPr="00130C7A">
        <w:rPr>
          <w:lang w:val="fr-FR"/>
        </w:rPr>
        <w:t>le 30 </w:t>
      </w:r>
      <w:r w:rsidR="009963D8" w:rsidRPr="00130C7A">
        <w:rPr>
          <w:lang w:val="fr-FR"/>
        </w:rPr>
        <w:t xml:space="preserve">novembre 2012. </w:t>
      </w:r>
      <w:r w:rsidR="006845B8" w:rsidRPr="00130C7A">
        <w:rPr>
          <w:lang w:val="fr-FR"/>
        </w:rPr>
        <w:t>Le j</w:t>
      </w:r>
      <w:r w:rsidR="00766A96" w:rsidRPr="00130C7A">
        <w:rPr>
          <w:lang w:val="fr-FR"/>
        </w:rPr>
        <w:t xml:space="preserve">uge releva </w:t>
      </w:r>
      <w:r w:rsidR="007F25E9" w:rsidRPr="00130C7A">
        <w:rPr>
          <w:lang w:val="fr-FR"/>
        </w:rPr>
        <w:t>tout d</w:t>
      </w:r>
      <w:r w:rsidR="00130C7A" w:rsidRPr="00130C7A">
        <w:rPr>
          <w:lang w:val="fr-FR"/>
        </w:rPr>
        <w:t>’</w:t>
      </w:r>
      <w:r w:rsidR="007F25E9" w:rsidRPr="00130C7A">
        <w:rPr>
          <w:lang w:val="fr-FR"/>
        </w:rPr>
        <w:t xml:space="preserve">abord </w:t>
      </w:r>
      <w:r w:rsidR="00766A96" w:rsidRPr="00130C7A">
        <w:rPr>
          <w:lang w:val="fr-FR"/>
        </w:rPr>
        <w:t xml:space="preserve">que la prescription </w:t>
      </w:r>
      <w:r w:rsidR="006845B8" w:rsidRPr="00130C7A">
        <w:rPr>
          <w:lang w:val="fr-FR"/>
        </w:rPr>
        <w:t xml:space="preserve">des </w:t>
      </w:r>
      <w:r w:rsidR="00220859" w:rsidRPr="00130C7A">
        <w:rPr>
          <w:lang w:val="fr-FR"/>
        </w:rPr>
        <w:t>faits</w:t>
      </w:r>
      <w:r w:rsidR="006845B8" w:rsidRPr="00130C7A">
        <w:rPr>
          <w:lang w:val="fr-FR"/>
        </w:rPr>
        <w:t xml:space="preserve"> </w:t>
      </w:r>
      <w:r w:rsidR="00E2796A" w:rsidRPr="00130C7A">
        <w:rPr>
          <w:lang w:val="fr-FR"/>
        </w:rPr>
        <w:t xml:space="preserve">le </w:t>
      </w:r>
      <w:r w:rsidR="006845B8" w:rsidRPr="00130C7A">
        <w:rPr>
          <w:lang w:val="fr-FR"/>
        </w:rPr>
        <w:t xml:space="preserve">dispensait </w:t>
      </w:r>
      <w:r w:rsidR="00EB7A8A" w:rsidRPr="00130C7A">
        <w:rPr>
          <w:lang w:val="fr-FR"/>
        </w:rPr>
        <w:t xml:space="preserve">de procéder à </w:t>
      </w:r>
      <w:r w:rsidR="006845B8" w:rsidRPr="00130C7A">
        <w:rPr>
          <w:lang w:val="fr-FR"/>
        </w:rPr>
        <w:t>un traitement plus approfondi de l</w:t>
      </w:r>
      <w:r w:rsidR="00130C7A" w:rsidRPr="00130C7A">
        <w:rPr>
          <w:lang w:val="fr-FR"/>
        </w:rPr>
        <w:t>’</w:t>
      </w:r>
      <w:r w:rsidR="006845B8" w:rsidRPr="00130C7A">
        <w:rPr>
          <w:lang w:val="fr-FR"/>
        </w:rPr>
        <w:t>affaire. Cela étant</w:t>
      </w:r>
      <w:r w:rsidR="00F56FE1" w:rsidRPr="00130C7A">
        <w:rPr>
          <w:lang w:val="fr-FR"/>
        </w:rPr>
        <w:t xml:space="preserve">, </w:t>
      </w:r>
      <w:r w:rsidR="006845B8" w:rsidRPr="00130C7A">
        <w:rPr>
          <w:lang w:val="fr-FR"/>
        </w:rPr>
        <w:t>il</w:t>
      </w:r>
      <w:r w:rsidR="00151ED7" w:rsidRPr="00130C7A">
        <w:rPr>
          <w:lang w:val="fr-FR"/>
        </w:rPr>
        <w:t xml:space="preserve"> </w:t>
      </w:r>
      <w:r w:rsidR="00566955" w:rsidRPr="00130C7A">
        <w:rPr>
          <w:lang w:val="fr-FR"/>
        </w:rPr>
        <w:t xml:space="preserve">indiqua </w:t>
      </w:r>
      <w:r w:rsidR="001360A7" w:rsidRPr="00130C7A">
        <w:rPr>
          <w:lang w:val="fr-FR"/>
        </w:rPr>
        <w:t xml:space="preserve">que </w:t>
      </w:r>
      <w:r w:rsidR="00670CAB" w:rsidRPr="00130C7A">
        <w:rPr>
          <w:lang w:val="fr-FR"/>
        </w:rPr>
        <w:t>l</w:t>
      </w:r>
      <w:r w:rsidR="00130C7A" w:rsidRPr="00130C7A">
        <w:rPr>
          <w:lang w:val="fr-FR"/>
        </w:rPr>
        <w:t>’</w:t>
      </w:r>
      <w:r w:rsidR="00670CAB" w:rsidRPr="00130C7A">
        <w:rPr>
          <w:lang w:val="fr-FR"/>
        </w:rPr>
        <w:t>enquête</w:t>
      </w:r>
      <w:r w:rsidR="006845B8" w:rsidRPr="00130C7A">
        <w:rPr>
          <w:lang w:val="fr-FR"/>
        </w:rPr>
        <w:t xml:space="preserve"> diligentée</w:t>
      </w:r>
      <w:r w:rsidR="00670CAB" w:rsidRPr="00130C7A">
        <w:rPr>
          <w:lang w:val="fr-FR"/>
        </w:rPr>
        <w:t xml:space="preserve"> avait permis de </w:t>
      </w:r>
      <w:r w:rsidR="00323B67" w:rsidRPr="00130C7A">
        <w:rPr>
          <w:lang w:val="fr-FR"/>
        </w:rPr>
        <w:t>conclure que le décès d</w:t>
      </w:r>
      <w:r w:rsidR="005945AB" w:rsidRPr="00130C7A">
        <w:rPr>
          <w:lang w:val="fr-FR"/>
        </w:rPr>
        <w:t xml:space="preserve">e </w:t>
      </w:r>
      <w:r w:rsidR="00323B67" w:rsidRPr="00130C7A">
        <w:rPr>
          <w:lang w:val="fr-FR"/>
        </w:rPr>
        <w:t>A. avait été causé par l</w:t>
      </w:r>
      <w:r w:rsidR="00130C7A" w:rsidRPr="00130C7A">
        <w:rPr>
          <w:lang w:val="fr-FR"/>
        </w:rPr>
        <w:t>’</w:t>
      </w:r>
      <w:r w:rsidR="00323B67" w:rsidRPr="00130C7A">
        <w:rPr>
          <w:lang w:val="fr-FR"/>
        </w:rPr>
        <w:t xml:space="preserve">inhalation volontaire du gaz fourni par la prison. </w:t>
      </w:r>
      <w:r w:rsidR="007E76AB" w:rsidRPr="00130C7A">
        <w:rPr>
          <w:lang w:val="fr-FR"/>
        </w:rPr>
        <w:t>Il précisa qu</w:t>
      </w:r>
      <w:r w:rsidR="00130C7A" w:rsidRPr="00130C7A">
        <w:rPr>
          <w:lang w:val="fr-FR"/>
        </w:rPr>
        <w:t>’</w:t>
      </w:r>
      <w:r w:rsidR="00305A65" w:rsidRPr="00130C7A">
        <w:rPr>
          <w:lang w:val="fr-FR"/>
        </w:rPr>
        <w:t xml:space="preserve">il était </w:t>
      </w:r>
      <w:r w:rsidR="000F19E0" w:rsidRPr="00130C7A">
        <w:rPr>
          <w:lang w:val="fr-FR"/>
        </w:rPr>
        <w:t xml:space="preserve">toutefois </w:t>
      </w:r>
      <w:r w:rsidR="00305A65" w:rsidRPr="00130C7A">
        <w:rPr>
          <w:lang w:val="fr-FR"/>
        </w:rPr>
        <w:t>difficile d</w:t>
      </w:r>
      <w:r w:rsidR="00130C7A" w:rsidRPr="00130C7A">
        <w:rPr>
          <w:lang w:val="fr-FR"/>
        </w:rPr>
        <w:t>’</w:t>
      </w:r>
      <w:r w:rsidR="00060E45" w:rsidRPr="00130C7A">
        <w:rPr>
          <w:lang w:val="fr-FR"/>
        </w:rPr>
        <w:t>envisager</w:t>
      </w:r>
      <w:r w:rsidR="00305A65" w:rsidRPr="00130C7A">
        <w:rPr>
          <w:lang w:val="fr-FR"/>
        </w:rPr>
        <w:t xml:space="preserve"> une responsabilité des </w:t>
      </w:r>
      <w:r w:rsidR="00945A88" w:rsidRPr="00130C7A">
        <w:rPr>
          <w:lang w:val="fr-FR"/>
        </w:rPr>
        <w:t>prévenus</w:t>
      </w:r>
      <w:r w:rsidR="00305A65" w:rsidRPr="00130C7A">
        <w:rPr>
          <w:lang w:val="fr-FR"/>
        </w:rPr>
        <w:t xml:space="preserve">, lesquels auraient pu </w:t>
      </w:r>
      <w:r w:rsidR="0015279D" w:rsidRPr="00130C7A">
        <w:rPr>
          <w:lang w:val="fr-FR"/>
        </w:rPr>
        <w:t xml:space="preserve">le cas échéant </w:t>
      </w:r>
      <w:r w:rsidR="00164C98" w:rsidRPr="00130C7A">
        <w:rPr>
          <w:lang w:val="fr-FR"/>
        </w:rPr>
        <w:t>empêcher</w:t>
      </w:r>
      <w:r w:rsidR="00305A65" w:rsidRPr="00130C7A">
        <w:rPr>
          <w:lang w:val="fr-FR"/>
        </w:rPr>
        <w:t xml:space="preserve"> </w:t>
      </w:r>
      <w:r w:rsidR="0015279D" w:rsidRPr="00130C7A">
        <w:rPr>
          <w:lang w:val="fr-FR"/>
        </w:rPr>
        <w:t xml:space="preserve">la victime </w:t>
      </w:r>
      <w:r w:rsidR="003937A2" w:rsidRPr="00130C7A">
        <w:rPr>
          <w:lang w:val="fr-FR"/>
        </w:rPr>
        <w:t>d</w:t>
      </w:r>
      <w:r w:rsidR="00130C7A" w:rsidRPr="00130C7A">
        <w:rPr>
          <w:lang w:val="fr-FR"/>
        </w:rPr>
        <w:t>’</w:t>
      </w:r>
      <w:r w:rsidR="003937A2" w:rsidRPr="00130C7A">
        <w:rPr>
          <w:lang w:val="fr-FR"/>
        </w:rPr>
        <w:t xml:space="preserve">avoir </w:t>
      </w:r>
      <w:r w:rsidR="00305A65" w:rsidRPr="00130C7A">
        <w:rPr>
          <w:lang w:val="fr-FR"/>
        </w:rPr>
        <w:t>accès</w:t>
      </w:r>
      <w:r w:rsidR="00164C98" w:rsidRPr="00130C7A">
        <w:rPr>
          <w:lang w:val="fr-FR"/>
        </w:rPr>
        <w:t xml:space="preserve"> </w:t>
      </w:r>
      <w:r w:rsidR="00305A65" w:rsidRPr="00130C7A">
        <w:rPr>
          <w:lang w:val="fr-FR"/>
        </w:rPr>
        <w:t xml:space="preserve">aux cartouches de gaz seulement en présence de </w:t>
      </w:r>
      <w:r w:rsidR="003A2765" w:rsidRPr="00130C7A">
        <w:rPr>
          <w:lang w:val="fr-FR"/>
        </w:rPr>
        <w:t>signalements précis</w:t>
      </w:r>
      <w:r w:rsidR="00305A65" w:rsidRPr="00130C7A">
        <w:rPr>
          <w:lang w:val="fr-FR"/>
        </w:rPr>
        <w:t xml:space="preserve"> </w:t>
      </w:r>
      <w:r w:rsidR="004601E6" w:rsidRPr="00130C7A">
        <w:rPr>
          <w:lang w:val="fr-FR"/>
        </w:rPr>
        <w:t xml:space="preserve">et </w:t>
      </w:r>
      <w:r w:rsidR="003A2765" w:rsidRPr="00130C7A">
        <w:rPr>
          <w:lang w:val="fr-FR"/>
        </w:rPr>
        <w:t>corroborés</w:t>
      </w:r>
      <w:r w:rsidR="00923F58" w:rsidRPr="00130C7A">
        <w:rPr>
          <w:lang w:val="fr-FR"/>
        </w:rPr>
        <w:t xml:space="preserve">, </w:t>
      </w:r>
      <w:r w:rsidR="006845B8" w:rsidRPr="00130C7A">
        <w:rPr>
          <w:lang w:val="fr-FR"/>
        </w:rPr>
        <w:t>qui n</w:t>
      </w:r>
      <w:r w:rsidR="00130C7A" w:rsidRPr="00130C7A">
        <w:rPr>
          <w:lang w:val="fr-FR"/>
        </w:rPr>
        <w:t>’</w:t>
      </w:r>
      <w:r w:rsidR="007E76AB" w:rsidRPr="00130C7A">
        <w:rPr>
          <w:lang w:val="fr-FR"/>
        </w:rPr>
        <w:t>exista</w:t>
      </w:r>
      <w:r w:rsidR="006845B8" w:rsidRPr="00130C7A">
        <w:rPr>
          <w:lang w:val="fr-FR"/>
        </w:rPr>
        <w:t>ient pas</w:t>
      </w:r>
      <w:r w:rsidR="00923F58" w:rsidRPr="00130C7A">
        <w:rPr>
          <w:lang w:val="fr-FR"/>
        </w:rPr>
        <w:t xml:space="preserve"> en l</w:t>
      </w:r>
      <w:r w:rsidR="00130C7A" w:rsidRPr="00130C7A">
        <w:rPr>
          <w:lang w:val="fr-FR"/>
        </w:rPr>
        <w:t>’</w:t>
      </w:r>
      <w:r w:rsidR="00923F58" w:rsidRPr="00130C7A">
        <w:rPr>
          <w:lang w:val="fr-FR"/>
        </w:rPr>
        <w:t>espèce</w:t>
      </w:r>
      <w:r w:rsidR="003A2765" w:rsidRPr="00130C7A">
        <w:rPr>
          <w:lang w:val="fr-FR"/>
        </w:rPr>
        <w:t>.</w:t>
      </w:r>
    </w:p>
    <w:p w:rsidR="0002620A" w:rsidRPr="00130C7A" w:rsidRDefault="00CD713A" w:rsidP="00130C7A">
      <w:pPr>
        <w:pStyle w:val="ECHRHeading1"/>
        <w:rPr>
          <w:lang w:val="fr-FR"/>
        </w:rPr>
      </w:pPr>
      <w:r w:rsidRPr="00130C7A">
        <w:rPr>
          <w:lang w:val="fr-FR"/>
        </w:rPr>
        <w:t>II.  </w:t>
      </w:r>
      <w:r w:rsidR="0002620A" w:rsidRPr="00130C7A">
        <w:rPr>
          <w:lang w:val="fr-FR"/>
        </w:rPr>
        <w:t>LE DROIT INTERNE PERTINENT</w:t>
      </w:r>
    </w:p>
    <w:p w:rsidR="0002620A" w:rsidRPr="00130C7A" w:rsidRDefault="0002620A"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30</w:t>
      </w:r>
      <w:r w:rsidRPr="00130C7A">
        <w:rPr>
          <w:lang w:val="fr-FR"/>
        </w:rPr>
        <w:fldChar w:fldCharType="end"/>
      </w:r>
      <w:r w:rsidRPr="00130C7A">
        <w:rPr>
          <w:lang w:val="fr-FR"/>
        </w:rPr>
        <w:t>.  L</w:t>
      </w:r>
      <w:r w:rsidR="00130C7A" w:rsidRPr="00130C7A">
        <w:rPr>
          <w:lang w:val="fr-FR"/>
        </w:rPr>
        <w:t>’</w:t>
      </w:r>
      <w:r w:rsidRPr="00130C7A">
        <w:rPr>
          <w:lang w:val="fr-FR"/>
        </w:rPr>
        <w:t>article 2043 du code civil est ainsi libellé :</w:t>
      </w:r>
    </w:p>
    <w:p w:rsidR="0093196E" w:rsidRPr="00130C7A" w:rsidRDefault="0002620A" w:rsidP="00130C7A">
      <w:pPr>
        <w:pStyle w:val="JuQuotSub"/>
        <w:rPr>
          <w:lang w:val="fr-FR"/>
        </w:rPr>
      </w:pPr>
      <w:r w:rsidRPr="00130C7A">
        <w:rPr>
          <w:lang w:val="fr-FR"/>
        </w:rPr>
        <w:t>« Tout fait illicite qui cause à autrui un dommage oblige celui qui l</w:t>
      </w:r>
      <w:r w:rsidR="00130C7A" w:rsidRPr="00130C7A">
        <w:rPr>
          <w:lang w:val="fr-FR"/>
        </w:rPr>
        <w:t>’</w:t>
      </w:r>
      <w:r w:rsidRPr="00130C7A">
        <w:rPr>
          <w:lang w:val="fr-FR"/>
        </w:rPr>
        <w:t>a commis à le réparer. »</w:t>
      </w:r>
    </w:p>
    <w:p w:rsidR="001E0028" w:rsidRPr="00130C7A" w:rsidRDefault="00F26BE1" w:rsidP="00130C7A">
      <w:pPr>
        <w:pStyle w:val="ECHRPara"/>
        <w:rPr>
          <w:lang w:val="fr-FR"/>
        </w:rPr>
      </w:pPr>
      <w:r w:rsidRPr="00130C7A">
        <w:fldChar w:fldCharType="begin"/>
      </w:r>
      <w:r w:rsidRPr="00130C7A">
        <w:rPr>
          <w:lang w:val="fr-FR"/>
        </w:rPr>
        <w:instrText xml:space="preserve"> SEQ level0 \*arabic </w:instrText>
      </w:r>
      <w:r w:rsidRPr="00130C7A">
        <w:fldChar w:fldCharType="separate"/>
      </w:r>
      <w:r w:rsidR="00130C7A" w:rsidRPr="00130C7A">
        <w:rPr>
          <w:noProof/>
          <w:lang w:val="fr-FR"/>
        </w:rPr>
        <w:t>31</w:t>
      </w:r>
      <w:r w:rsidRPr="00130C7A">
        <w:fldChar w:fldCharType="end"/>
      </w:r>
      <w:r w:rsidRPr="00130C7A">
        <w:rPr>
          <w:lang w:val="fr-FR"/>
        </w:rPr>
        <w:t>.  L</w:t>
      </w:r>
      <w:r w:rsidR="00130C7A" w:rsidRPr="00130C7A">
        <w:rPr>
          <w:lang w:val="fr-FR"/>
        </w:rPr>
        <w:t>’</w:t>
      </w:r>
      <w:r w:rsidRPr="00130C7A">
        <w:rPr>
          <w:lang w:val="fr-FR"/>
        </w:rPr>
        <w:t>article</w:t>
      </w:r>
      <w:r w:rsidR="00056A2F" w:rsidRPr="00130C7A">
        <w:rPr>
          <w:lang w:val="fr-FR"/>
        </w:rPr>
        <w:t xml:space="preserve"> 185</w:t>
      </w:r>
      <w:r w:rsidRPr="00130C7A">
        <w:rPr>
          <w:lang w:val="fr-FR"/>
        </w:rPr>
        <w:t xml:space="preserve"> du code pénal est ainsi libellé :</w:t>
      </w:r>
    </w:p>
    <w:p w:rsidR="001E0028" w:rsidRPr="00130C7A" w:rsidRDefault="0054441F" w:rsidP="00130C7A">
      <w:pPr>
        <w:pStyle w:val="JuQuotSub"/>
        <w:rPr>
          <w:lang w:val="fr-FR"/>
        </w:rPr>
      </w:pPr>
      <w:r w:rsidRPr="00130C7A">
        <w:rPr>
          <w:lang w:val="fr-FR"/>
        </w:rPr>
        <w:t>« Tout délit</w:t>
      </w:r>
      <w:r w:rsidR="00F26BE1" w:rsidRPr="00130C7A">
        <w:rPr>
          <w:lang w:val="fr-FR"/>
        </w:rPr>
        <w:t xml:space="preserve"> ayant </w:t>
      </w:r>
      <w:r w:rsidRPr="00130C7A">
        <w:rPr>
          <w:lang w:val="fr-FR"/>
        </w:rPr>
        <w:t>causé</w:t>
      </w:r>
      <w:r w:rsidR="00F26BE1" w:rsidRPr="00130C7A">
        <w:rPr>
          <w:lang w:val="fr-FR"/>
        </w:rPr>
        <w:t xml:space="preserve"> un dommage </w:t>
      </w:r>
      <w:r w:rsidRPr="00130C7A">
        <w:rPr>
          <w:lang w:val="fr-FR"/>
        </w:rPr>
        <w:t xml:space="preserve">patrimonial ou non patrimonial </w:t>
      </w:r>
      <w:r w:rsidR="00F26BE1" w:rsidRPr="00130C7A">
        <w:rPr>
          <w:lang w:val="fr-FR"/>
        </w:rPr>
        <w:t>oblige l</w:t>
      </w:r>
      <w:r w:rsidR="00130C7A" w:rsidRPr="00130C7A">
        <w:rPr>
          <w:lang w:val="fr-FR"/>
        </w:rPr>
        <w:t>’</w:t>
      </w:r>
      <w:r w:rsidR="00E203A4" w:rsidRPr="00130C7A">
        <w:rPr>
          <w:lang w:val="fr-FR"/>
        </w:rPr>
        <w:t>auteur</w:t>
      </w:r>
      <w:r w:rsidR="00F26BE1" w:rsidRPr="00130C7A">
        <w:rPr>
          <w:lang w:val="fr-FR"/>
        </w:rPr>
        <w:t xml:space="preserve"> du délit</w:t>
      </w:r>
      <w:r w:rsidR="001F466B" w:rsidRPr="00130C7A">
        <w:rPr>
          <w:lang w:val="fr-FR"/>
        </w:rPr>
        <w:t>,</w:t>
      </w:r>
      <w:r w:rsidR="00F26BE1" w:rsidRPr="00130C7A">
        <w:rPr>
          <w:lang w:val="fr-FR"/>
        </w:rPr>
        <w:t xml:space="preserve"> </w:t>
      </w:r>
      <w:r w:rsidR="001F466B" w:rsidRPr="00130C7A">
        <w:rPr>
          <w:lang w:val="fr-FR"/>
        </w:rPr>
        <w:t>ainsi que</w:t>
      </w:r>
      <w:r w:rsidR="00F26BE1" w:rsidRPr="00130C7A">
        <w:rPr>
          <w:lang w:val="fr-FR"/>
        </w:rPr>
        <w:t xml:space="preserve"> les personnes qui </w:t>
      </w:r>
      <w:r w:rsidR="000932F0" w:rsidRPr="00130C7A">
        <w:rPr>
          <w:lang w:val="fr-FR"/>
        </w:rPr>
        <w:t>sont responsables pour les</w:t>
      </w:r>
      <w:r w:rsidR="00F26BE1" w:rsidRPr="00130C7A">
        <w:rPr>
          <w:lang w:val="fr-FR"/>
        </w:rPr>
        <w:t xml:space="preserve"> actions de celui-c</w:t>
      </w:r>
      <w:r w:rsidR="000932F0" w:rsidRPr="00130C7A">
        <w:rPr>
          <w:lang w:val="fr-FR"/>
        </w:rPr>
        <w:t xml:space="preserve">i </w:t>
      </w:r>
      <w:r w:rsidR="00A57919" w:rsidRPr="00130C7A">
        <w:rPr>
          <w:lang w:val="fr-FR"/>
        </w:rPr>
        <w:t>s</w:t>
      </w:r>
      <w:r w:rsidR="002B50A4" w:rsidRPr="00130C7A">
        <w:rPr>
          <w:lang w:val="fr-FR"/>
        </w:rPr>
        <w:t>elon les</w:t>
      </w:r>
      <w:r w:rsidR="001F466B" w:rsidRPr="00130C7A">
        <w:rPr>
          <w:lang w:val="fr-FR"/>
        </w:rPr>
        <w:t xml:space="preserve"> </w:t>
      </w:r>
      <w:r w:rsidR="000932F0" w:rsidRPr="00130C7A">
        <w:rPr>
          <w:lang w:val="fr-FR"/>
        </w:rPr>
        <w:t>lois civiles</w:t>
      </w:r>
      <w:r w:rsidRPr="00130C7A">
        <w:rPr>
          <w:lang w:val="fr-FR"/>
        </w:rPr>
        <w:t>, à le réparer</w:t>
      </w:r>
      <w:r w:rsidR="000932F0" w:rsidRPr="00130C7A">
        <w:rPr>
          <w:lang w:val="fr-FR"/>
        </w:rPr>
        <w:t>. »</w:t>
      </w:r>
    </w:p>
    <w:p w:rsidR="002074AB" w:rsidRPr="00130C7A" w:rsidRDefault="00F5662C"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32</w:t>
      </w:r>
      <w:r w:rsidRPr="00130C7A">
        <w:rPr>
          <w:lang w:val="fr-FR"/>
        </w:rPr>
        <w:fldChar w:fldCharType="end"/>
      </w:r>
      <w:r w:rsidRPr="00130C7A">
        <w:rPr>
          <w:lang w:val="fr-FR"/>
        </w:rPr>
        <w:t>.  </w:t>
      </w:r>
      <w:r w:rsidR="00AE41B0" w:rsidRPr="00130C7A">
        <w:rPr>
          <w:lang w:val="fr-FR"/>
        </w:rPr>
        <w:t>Aux termes de l</w:t>
      </w:r>
      <w:r w:rsidR="00130C7A" w:rsidRPr="00130C7A">
        <w:rPr>
          <w:lang w:val="fr-FR"/>
        </w:rPr>
        <w:t>’</w:t>
      </w:r>
      <w:r w:rsidR="00AE41B0" w:rsidRPr="00130C7A">
        <w:rPr>
          <w:lang w:val="fr-FR"/>
        </w:rPr>
        <w:t>article 79 du code de procédure pénale (CPP), la partie lésée peut se constituer partie civile à compter de l</w:t>
      </w:r>
      <w:r w:rsidR="00130C7A" w:rsidRPr="00130C7A">
        <w:rPr>
          <w:lang w:val="fr-FR"/>
        </w:rPr>
        <w:t>’</w:t>
      </w:r>
      <w:r w:rsidR="00AE41B0" w:rsidRPr="00130C7A">
        <w:rPr>
          <w:lang w:val="fr-FR"/>
        </w:rPr>
        <w:t xml:space="preserve">audience préliminaire, </w:t>
      </w:r>
      <w:r w:rsidR="00C749E3" w:rsidRPr="00130C7A">
        <w:rPr>
          <w:lang w:val="fr-FR"/>
        </w:rPr>
        <w:t>à savoir</w:t>
      </w:r>
      <w:r w:rsidR="00AE41B0" w:rsidRPr="00130C7A">
        <w:rPr>
          <w:lang w:val="fr-FR"/>
        </w:rPr>
        <w:t xml:space="preserve"> l</w:t>
      </w:r>
      <w:r w:rsidR="00130C7A" w:rsidRPr="00130C7A">
        <w:rPr>
          <w:lang w:val="fr-FR"/>
        </w:rPr>
        <w:t>’</w:t>
      </w:r>
      <w:r w:rsidR="00AE41B0" w:rsidRPr="00130C7A">
        <w:rPr>
          <w:lang w:val="fr-FR"/>
        </w:rPr>
        <w:t>audience pendant laquelle le juge est appelé à décider si l</w:t>
      </w:r>
      <w:r w:rsidR="00130C7A" w:rsidRPr="00130C7A">
        <w:rPr>
          <w:lang w:val="fr-FR"/>
        </w:rPr>
        <w:t>’</w:t>
      </w:r>
      <w:r w:rsidR="00AE41B0" w:rsidRPr="00130C7A">
        <w:rPr>
          <w:lang w:val="fr-FR"/>
        </w:rPr>
        <w:t>accusé doit être renvoyé en jugement. Avant cette audience, ou dans les cas où celle-ci n</w:t>
      </w:r>
      <w:r w:rsidR="00130C7A" w:rsidRPr="00130C7A">
        <w:rPr>
          <w:lang w:val="fr-FR"/>
        </w:rPr>
        <w:t>’</w:t>
      </w:r>
      <w:r w:rsidR="00AE41B0" w:rsidRPr="00130C7A">
        <w:rPr>
          <w:lang w:val="fr-FR"/>
        </w:rPr>
        <w:t>a pas lieu pour cause de classement de l</w:t>
      </w:r>
      <w:r w:rsidR="00130C7A" w:rsidRPr="00130C7A">
        <w:rPr>
          <w:lang w:val="fr-FR"/>
        </w:rPr>
        <w:t>’</w:t>
      </w:r>
      <w:r w:rsidR="00AE41B0" w:rsidRPr="00130C7A">
        <w:rPr>
          <w:lang w:val="fr-FR"/>
        </w:rPr>
        <w:t>affaire à un stade antérieur, la partie lésée peut exercer certaines facultés (article 90 du CPP)</w:t>
      </w:r>
      <w:r w:rsidR="002074AB" w:rsidRPr="00130C7A">
        <w:rPr>
          <w:lang w:val="fr-FR"/>
        </w:rPr>
        <w:t>.</w:t>
      </w:r>
    </w:p>
    <w:p w:rsidR="000763CA" w:rsidRPr="00130C7A" w:rsidRDefault="00F5662C"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33</w:t>
      </w:r>
      <w:r w:rsidRPr="00130C7A">
        <w:rPr>
          <w:lang w:val="fr-FR"/>
        </w:rPr>
        <w:fldChar w:fldCharType="end"/>
      </w:r>
      <w:r w:rsidRPr="00130C7A">
        <w:rPr>
          <w:lang w:val="fr-FR"/>
        </w:rPr>
        <w:t>.  </w:t>
      </w:r>
      <w:r w:rsidR="000763CA" w:rsidRPr="00130C7A">
        <w:rPr>
          <w:lang w:val="fr-FR"/>
        </w:rPr>
        <w:t>L</w:t>
      </w:r>
      <w:r w:rsidR="00130C7A" w:rsidRPr="00130C7A">
        <w:rPr>
          <w:lang w:val="fr-FR"/>
        </w:rPr>
        <w:t>’</w:t>
      </w:r>
      <w:r w:rsidR="000763CA" w:rsidRPr="00130C7A">
        <w:rPr>
          <w:lang w:val="fr-FR"/>
        </w:rPr>
        <w:t>article 2947 du code civil (le « CC »), dans ses parties pertinentes, se lit ainsi :</w:t>
      </w:r>
    </w:p>
    <w:p w:rsidR="000763CA" w:rsidRPr="00130C7A" w:rsidRDefault="003938CF" w:rsidP="00130C7A">
      <w:pPr>
        <w:pStyle w:val="JuQuotSub"/>
        <w:rPr>
          <w:lang w:val="fr-FR"/>
        </w:rPr>
      </w:pPr>
      <w:r w:rsidRPr="00130C7A">
        <w:rPr>
          <w:lang w:val="fr-FR"/>
        </w:rPr>
        <w:t>« </w:t>
      </w:r>
      <w:r w:rsidR="000763CA" w:rsidRPr="00130C7A">
        <w:rPr>
          <w:lang w:val="fr-FR"/>
        </w:rPr>
        <w:t>1. Le droit au dédommagement en conséquence d</w:t>
      </w:r>
      <w:r w:rsidR="00130C7A" w:rsidRPr="00130C7A">
        <w:rPr>
          <w:lang w:val="fr-FR"/>
        </w:rPr>
        <w:t>’</w:t>
      </w:r>
      <w:r w:rsidR="000763CA" w:rsidRPr="00130C7A">
        <w:rPr>
          <w:lang w:val="fr-FR"/>
        </w:rPr>
        <w:t>un fait illicite est prescrit cinq ans après le jour où le fait s</w:t>
      </w:r>
      <w:r w:rsidR="00130C7A" w:rsidRPr="00130C7A">
        <w:rPr>
          <w:lang w:val="fr-FR"/>
        </w:rPr>
        <w:t>’</w:t>
      </w:r>
      <w:r w:rsidR="000763CA" w:rsidRPr="00130C7A">
        <w:rPr>
          <w:lang w:val="fr-FR"/>
        </w:rPr>
        <w:t>est produit.</w:t>
      </w:r>
    </w:p>
    <w:p w:rsidR="000763CA" w:rsidRPr="00130C7A" w:rsidRDefault="000763CA" w:rsidP="00130C7A">
      <w:pPr>
        <w:pStyle w:val="JuQuotSub"/>
        <w:rPr>
          <w:lang w:val="fr-FR"/>
        </w:rPr>
      </w:pPr>
      <w:r w:rsidRPr="00130C7A">
        <w:rPr>
          <w:lang w:val="fr-FR"/>
        </w:rPr>
        <w:t>(</w:t>
      </w:r>
      <w:r w:rsidR="00775C5B" w:rsidRPr="00130C7A">
        <w:rPr>
          <w:lang w:val="fr-FR"/>
        </w:rPr>
        <w:t>...</w:t>
      </w:r>
      <w:r w:rsidRPr="00130C7A">
        <w:rPr>
          <w:lang w:val="fr-FR"/>
        </w:rPr>
        <w:t>)</w:t>
      </w:r>
    </w:p>
    <w:p w:rsidR="000763CA" w:rsidRPr="00130C7A" w:rsidRDefault="000763CA" w:rsidP="00130C7A">
      <w:pPr>
        <w:pStyle w:val="JuQuotSub"/>
        <w:rPr>
          <w:lang w:val="fr-FR"/>
        </w:rPr>
      </w:pPr>
      <w:r w:rsidRPr="00130C7A">
        <w:rPr>
          <w:lang w:val="fr-FR"/>
        </w:rPr>
        <w:t xml:space="preserve">3. </w:t>
      </w:r>
      <w:r w:rsidR="00783E47" w:rsidRPr="00130C7A">
        <w:rPr>
          <w:lang w:val="fr-FR"/>
        </w:rPr>
        <w:t>Si</w:t>
      </w:r>
      <w:r w:rsidRPr="00130C7A">
        <w:rPr>
          <w:lang w:val="fr-FR"/>
        </w:rPr>
        <w:t xml:space="preserve"> le fait est considéré par la loi comme étant une infraction pénale et si pour l</w:t>
      </w:r>
      <w:r w:rsidR="00130C7A" w:rsidRPr="00130C7A">
        <w:rPr>
          <w:lang w:val="fr-FR"/>
        </w:rPr>
        <w:t>’</w:t>
      </w:r>
      <w:r w:rsidRPr="00130C7A">
        <w:rPr>
          <w:lang w:val="fr-FR"/>
        </w:rPr>
        <w:t>infraction pénale le délai de prescription est plus long, ce délai s</w:t>
      </w:r>
      <w:r w:rsidR="00130C7A" w:rsidRPr="00130C7A">
        <w:rPr>
          <w:lang w:val="fr-FR"/>
        </w:rPr>
        <w:t>’</w:t>
      </w:r>
      <w:r w:rsidRPr="00130C7A">
        <w:rPr>
          <w:lang w:val="fr-FR"/>
        </w:rPr>
        <w:t>applique aussi à l</w:t>
      </w:r>
      <w:r w:rsidR="00130C7A" w:rsidRPr="00130C7A">
        <w:rPr>
          <w:lang w:val="fr-FR"/>
        </w:rPr>
        <w:t>’</w:t>
      </w:r>
      <w:r w:rsidRPr="00130C7A">
        <w:rPr>
          <w:lang w:val="fr-FR"/>
        </w:rPr>
        <w:t>action civile (</w:t>
      </w:r>
      <w:r w:rsidR="00775C5B" w:rsidRPr="00130C7A">
        <w:rPr>
          <w:lang w:val="fr-FR"/>
        </w:rPr>
        <w:t>...</w:t>
      </w:r>
      <w:r w:rsidR="003938CF" w:rsidRPr="00130C7A">
        <w:rPr>
          <w:lang w:val="fr-FR"/>
        </w:rPr>
        <w:t>) »</w:t>
      </w:r>
    </w:p>
    <w:p w:rsidR="003B257F" w:rsidRPr="00130C7A" w:rsidRDefault="00E77CB3" w:rsidP="00130C7A">
      <w:pPr>
        <w:pStyle w:val="ECHRTitle1"/>
        <w:rPr>
          <w:lang w:val="fr-FR"/>
        </w:rPr>
      </w:pPr>
      <w:r w:rsidRPr="00130C7A">
        <w:rPr>
          <w:lang w:val="fr-FR"/>
        </w:rPr>
        <w:lastRenderedPageBreak/>
        <w:t>EN DROIT</w:t>
      </w:r>
    </w:p>
    <w:p w:rsidR="00E77CB3" w:rsidRPr="00130C7A" w:rsidRDefault="00400B82" w:rsidP="00130C7A">
      <w:pPr>
        <w:pStyle w:val="ECHRHeading1"/>
        <w:rPr>
          <w:lang w:val="fr-FR"/>
        </w:rPr>
      </w:pPr>
      <w:r w:rsidRPr="00130C7A">
        <w:rPr>
          <w:lang w:val="fr-FR"/>
        </w:rPr>
        <w:t>S</w:t>
      </w:r>
      <w:r w:rsidR="00E77CB3" w:rsidRPr="00130C7A">
        <w:rPr>
          <w:lang w:val="fr-FR"/>
        </w:rPr>
        <w:t>UR LA VIOLATION ALLÉGUÉE DE L</w:t>
      </w:r>
      <w:r w:rsidR="00130C7A" w:rsidRPr="00130C7A">
        <w:rPr>
          <w:lang w:val="fr-FR"/>
        </w:rPr>
        <w:t>’</w:t>
      </w:r>
      <w:r w:rsidR="00E77CB3" w:rsidRPr="00130C7A">
        <w:rPr>
          <w:lang w:val="fr-FR"/>
        </w:rPr>
        <w:t xml:space="preserve">ARTICLE </w:t>
      </w:r>
      <w:r w:rsidR="0046519C" w:rsidRPr="00130C7A">
        <w:rPr>
          <w:lang w:val="fr-FR"/>
        </w:rPr>
        <w:t>2</w:t>
      </w:r>
      <w:r w:rsidR="00E77CB3" w:rsidRPr="00130C7A">
        <w:rPr>
          <w:lang w:val="fr-FR"/>
        </w:rPr>
        <w:t xml:space="preserve"> DE LA CONVENTION</w:t>
      </w:r>
    </w:p>
    <w:p w:rsidR="00E77CB3" w:rsidRPr="00130C7A" w:rsidRDefault="00F71371"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34</w:t>
      </w:r>
      <w:r w:rsidRPr="00130C7A">
        <w:rPr>
          <w:lang w:val="fr-FR"/>
        </w:rPr>
        <w:fldChar w:fldCharType="end"/>
      </w:r>
      <w:r w:rsidR="00E77CB3" w:rsidRPr="00130C7A">
        <w:rPr>
          <w:lang w:val="fr-FR"/>
        </w:rPr>
        <w:t>.  </w:t>
      </w:r>
      <w:r w:rsidRPr="00130C7A">
        <w:rPr>
          <w:lang w:val="fr-FR"/>
        </w:rPr>
        <w:t>Les requérants</w:t>
      </w:r>
      <w:r w:rsidR="00E77CB3" w:rsidRPr="00130C7A">
        <w:rPr>
          <w:lang w:val="fr-FR"/>
        </w:rPr>
        <w:t xml:space="preserve"> allègue</w:t>
      </w:r>
      <w:r w:rsidRPr="00130C7A">
        <w:rPr>
          <w:lang w:val="fr-FR"/>
        </w:rPr>
        <w:t>nt</w:t>
      </w:r>
      <w:r w:rsidR="00E77CB3" w:rsidRPr="00130C7A">
        <w:rPr>
          <w:lang w:val="fr-FR"/>
        </w:rPr>
        <w:t xml:space="preserve"> que </w:t>
      </w:r>
      <w:r w:rsidR="00735235" w:rsidRPr="00130C7A">
        <w:rPr>
          <w:lang w:val="fr-FR"/>
        </w:rPr>
        <w:t>les autorités pénitentiaires n</w:t>
      </w:r>
      <w:r w:rsidR="00130C7A" w:rsidRPr="00130C7A">
        <w:rPr>
          <w:lang w:val="fr-FR"/>
        </w:rPr>
        <w:t>’</w:t>
      </w:r>
      <w:r w:rsidR="00735235" w:rsidRPr="00130C7A">
        <w:rPr>
          <w:lang w:val="fr-FR"/>
        </w:rPr>
        <w:t xml:space="preserve">ont pas adéquatement protégé </w:t>
      </w:r>
      <w:r w:rsidR="004C5572" w:rsidRPr="00130C7A">
        <w:rPr>
          <w:lang w:val="fr-FR"/>
        </w:rPr>
        <w:t xml:space="preserve">le droit à la vie de </w:t>
      </w:r>
      <w:r w:rsidR="00456E60" w:rsidRPr="00130C7A">
        <w:rPr>
          <w:lang w:val="fr-FR"/>
        </w:rPr>
        <w:t xml:space="preserve">leur </w:t>
      </w:r>
      <w:r w:rsidR="00672A83" w:rsidRPr="00130C7A">
        <w:rPr>
          <w:lang w:val="fr-FR"/>
        </w:rPr>
        <w:t>proche et ont failli à mener une enquête effective</w:t>
      </w:r>
      <w:r w:rsidR="00482C82" w:rsidRPr="00130C7A">
        <w:rPr>
          <w:lang w:val="fr-FR"/>
        </w:rPr>
        <w:t xml:space="preserve"> à cet égard</w:t>
      </w:r>
      <w:r w:rsidR="004C5572" w:rsidRPr="00130C7A">
        <w:rPr>
          <w:lang w:val="fr-FR"/>
        </w:rPr>
        <w:t>.</w:t>
      </w:r>
      <w:r w:rsidR="00735235" w:rsidRPr="00130C7A">
        <w:rPr>
          <w:lang w:val="fr-FR"/>
        </w:rPr>
        <w:t xml:space="preserve"> Ils se plaignent d</w:t>
      </w:r>
      <w:r w:rsidR="00130C7A" w:rsidRPr="00130C7A">
        <w:rPr>
          <w:lang w:val="fr-FR"/>
        </w:rPr>
        <w:t>’</w:t>
      </w:r>
      <w:r w:rsidR="00735235" w:rsidRPr="00130C7A">
        <w:rPr>
          <w:lang w:val="fr-FR"/>
        </w:rPr>
        <w:t xml:space="preserve">une violation de </w:t>
      </w:r>
      <w:r w:rsidR="00E77CB3" w:rsidRPr="00130C7A">
        <w:rPr>
          <w:lang w:val="fr-FR"/>
        </w:rPr>
        <w:t>l</w:t>
      </w:r>
      <w:r w:rsidR="00130C7A" w:rsidRPr="00130C7A">
        <w:rPr>
          <w:lang w:val="fr-FR"/>
        </w:rPr>
        <w:t>’</w:t>
      </w:r>
      <w:r w:rsidR="00E77CB3" w:rsidRPr="00130C7A">
        <w:rPr>
          <w:lang w:val="fr-FR"/>
        </w:rPr>
        <w:t>article</w:t>
      </w:r>
      <w:r w:rsidR="00482C82" w:rsidRPr="00130C7A">
        <w:rPr>
          <w:lang w:val="fr-FR"/>
        </w:rPr>
        <w:t> </w:t>
      </w:r>
      <w:r w:rsidR="00FE2CAE" w:rsidRPr="00130C7A">
        <w:rPr>
          <w:lang w:val="fr-FR"/>
        </w:rPr>
        <w:t>2</w:t>
      </w:r>
      <w:r w:rsidR="00E77CB3" w:rsidRPr="00130C7A">
        <w:rPr>
          <w:lang w:val="fr-FR"/>
        </w:rPr>
        <w:t xml:space="preserve"> de la Convention</w:t>
      </w:r>
      <w:r w:rsidR="000F19E0" w:rsidRPr="00130C7A">
        <w:rPr>
          <w:lang w:val="fr-FR"/>
        </w:rPr>
        <w:t>,</w:t>
      </w:r>
      <w:r w:rsidR="00A6611C" w:rsidRPr="00130C7A">
        <w:rPr>
          <w:lang w:val="fr-FR"/>
        </w:rPr>
        <w:t xml:space="preserve"> qui, en ses parties pertinentes</w:t>
      </w:r>
      <w:r w:rsidR="000F19E0" w:rsidRPr="00130C7A">
        <w:rPr>
          <w:lang w:val="fr-FR"/>
        </w:rPr>
        <w:t xml:space="preserve"> en l</w:t>
      </w:r>
      <w:r w:rsidR="00130C7A" w:rsidRPr="00130C7A">
        <w:rPr>
          <w:lang w:val="fr-FR"/>
        </w:rPr>
        <w:t>’</w:t>
      </w:r>
      <w:r w:rsidR="000F19E0" w:rsidRPr="00130C7A">
        <w:rPr>
          <w:lang w:val="fr-FR"/>
        </w:rPr>
        <w:t>espèce</w:t>
      </w:r>
      <w:r w:rsidR="00A6611C" w:rsidRPr="00130C7A">
        <w:rPr>
          <w:lang w:val="fr-FR"/>
        </w:rPr>
        <w:t>, est</w:t>
      </w:r>
      <w:r w:rsidR="00E77CB3" w:rsidRPr="00130C7A">
        <w:rPr>
          <w:lang w:val="fr-FR"/>
        </w:rPr>
        <w:t xml:space="preserve"> ainsi libellé :</w:t>
      </w:r>
    </w:p>
    <w:p w:rsidR="00FE2CAE" w:rsidRPr="00130C7A" w:rsidRDefault="00FE2CAE" w:rsidP="00130C7A">
      <w:pPr>
        <w:pStyle w:val="ECHRParaQuote"/>
        <w:rPr>
          <w:lang w:val="fr-FR"/>
        </w:rPr>
      </w:pPr>
      <w:r w:rsidRPr="00130C7A">
        <w:rPr>
          <w:lang w:val="fr-FR"/>
        </w:rPr>
        <w:t xml:space="preserve">« 1.  Le droit de toute personne </w:t>
      </w:r>
      <w:r w:rsidR="004C5572" w:rsidRPr="00130C7A">
        <w:rPr>
          <w:lang w:val="fr-FR"/>
        </w:rPr>
        <w:t>à la vie est protégé par la loi</w:t>
      </w:r>
      <w:r w:rsidRPr="00130C7A">
        <w:rPr>
          <w:lang w:val="fr-FR"/>
        </w:rPr>
        <w:t> ».</w:t>
      </w:r>
    </w:p>
    <w:p w:rsidR="00E77CB3" w:rsidRPr="00130C7A" w:rsidRDefault="00E77CB3" w:rsidP="00130C7A">
      <w:pPr>
        <w:pStyle w:val="ECHRHeading2"/>
        <w:rPr>
          <w:lang w:val="fr-FR"/>
        </w:rPr>
      </w:pPr>
      <w:r w:rsidRPr="00130C7A">
        <w:rPr>
          <w:lang w:val="fr-FR"/>
        </w:rPr>
        <w:t>A.  Sur la recevabilité</w:t>
      </w:r>
    </w:p>
    <w:p w:rsidR="004F3472" w:rsidRPr="00130C7A" w:rsidRDefault="004168E3" w:rsidP="00130C7A">
      <w:pPr>
        <w:pStyle w:val="ECHRHeading3"/>
        <w:rPr>
          <w:lang w:val="fr-FR"/>
        </w:rPr>
      </w:pPr>
      <w:r w:rsidRPr="00130C7A">
        <w:rPr>
          <w:lang w:val="fr-FR"/>
        </w:rPr>
        <w:t>1.  </w:t>
      </w:r>
      <w:r w:rsidR="004F3472" w:rsidRPr="00130C7A">
        <w:rPr>
          <w:lang w:val="fr-FR"/>
        </w:rPr>
        <w:t xml:space="preserve">Sur le défaut de qualité de victime </w:t>
      </w:r>
      <w:r w:rsidR="00D77441" w:rsidRPr="00130C7A">
        <w:rPr>
          <w:lang w:val="fr-FR"/>
        </w:rPr>
        <w:t>de la requérante</w:t>
      </w:r>
    </w:p>
    <w:p w:rsidR="00D77441" w:rsidRPr="00130C7A" w:rsidRDefault="00F71371"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35</w:t>
      </w:r>
      <w:r w:rsidRPr="00130C7A">
        <w:rPr>
          <w:lang w:val="fr-FR"/>
        </w:rPr>
        <w:fldChar w:fldCharType="end"/>
      </w:r>
      <w:r w:rsidR="00E77CB3" w:rsidRPr="00130C7A">
        <w:rPr>
          <w:lang w:val="fr-FR"/>
        </w:rPr>
        <w:t>.  </w:t>
      </w:r>
      <w:r w:rsidR="00D77441" w:rsidRPr="00130C7A">
        <w:rPr>
          <w:lang w:val="fr-FR"/>
        </w:rPr>
        <w:t>Le Gouvernement excipe</w:t>
      </w:r>
      <w:r w:rsidR="003612D9" w:rsidRPr="00130C7A">
        <w:rPr>
          <w:lang w:val="fr-FR"/>
        </w:rPr>
        <w:t xml:space="preserve"> tout d</w:t>
      </w:r>
      <w:r w:rsidR="00130C7A" w:rsidRPr="00130C7A">
        <w:rPr>
          <w:lang w:val="fr-FR"/>
        </w:rPr>
        <w:t>’</w:t>
      </w:r>
      <w:r w:rsidR="003612D9" w:rsidRPr="00130C7A">
        <w:rPr>
          <w:lang w:val="fr-FR"/>
        </w:rPr>
        <w:t>abord</w:t>
      </w:r>
      <w:r w:rsidR="00D77441" w:rsidRPr="00130C7A">
        <w:rPr>
          <w:lang w:val="fr-FR"/>
        </w:rPr>
        <w:t xml:space="preserve"> </w:t>
      </w:r>
      <w:r w:rsidR="00792CF0" w:rsidRPr="00130C7A">
        <w:rPr>
          <w:lang w:val="fr-FR"/>
        </w:rPr>
        <w:t>d</w:t>
      </w:r>
      <w:r w:rsidR="00130C7A" w:rsidRPr="00130C7A">
        <w:rPr>
          <w:lang w:val="fr-FR"/>
        </w:rPr>
        <w:t>’</w:t>
      </w:r>
      <w:r w:rsidR="000F19E0" w:rsidRPr="00130C7A">
        <w:rPr>
          <w:lang w:val="fr-FR"/>
        </w:rPr>
        <w:t>un</w:t>
      </w:r>
      <w:r w:rsidR="00792CF0" w:rsidRPr="00130C7A">
        <w:rPr>
          <w:lang w:val="fr-FR"/>
        </w:rPr>
        <w:t xml:space="preserve"> défaut de qualité de victime</w:t>
      </w:r>
      <w:r w:rsidR="00D77441" w:rsidRPr="00130C7A">
        <w:rPr>
          <w:lang w:val="fr-FR"/>
        </w:rPr>
        <w:t xml:space="preserve"> de la requérante, dont la réalité du lien affectif avec </w:t>
      </w:r>
      <w:r w:rsidR="00B97515" w:rsidRPr="00130C7A">
        <w:rPr>
          <w:lang w:val="fr-FR"/>
        </w:rPr>
        <w:t>A.</w:t>
      </w:r>
      <w:r w:rsidR="00D77441" w:rsidRPr="00130C7A">
        <w:rPr>
          <w:lang w:val="fr-FR"/>
        </w:rPr>
        <w:t xml:space="preserve"> n</w:t>
      </w:r>
      <w:r w:rsidR="00130C7A" w:rsidRPr="00130C7A">
        <w:rPr>
          <w:lang w:val="fr-FR"/>
        </w:rPr>
        <w:t>’</w:t>
      </w:r>
      <w:r w:rsidR="00D77441" w:rsidRPr="00130C7A">
        <w:rPr>
          <w:lang w:val="fr-FR"/>
        </w:rPr>
        <w:t>aurait pas été prouvé</w:t>
      </w:r>
      <w:r w:rsidR="00B97515" w:rsidRPr="00130C7A">
        <w:rPr>
          <w:lang w:val="fr-FR"/>
        </w:rPr>
        <w:t>e</w:t>
      </w:r>
      <w:r w:rsidR="001F28E4" w:rsidRPr="00130C7A">
        <w:rPr>
          <w:lang w:val="fr-FR"/>
        </w:rPr>
        <w:t xml:space="preserve">. Il </w:t>
      </w:r>
      <w:r w:rsidR="00E50202" w:rsidRPr="00130C7A">
        <w:rPr>
          <w:lang w:val="fr-FR"/>
        </w:rPr>
        <w:t>indique</w:t>
      </w:r>
      <w:r w:rsidR="001F28E4" w:rsidRPr="00130C7A">
        <w:rPr>
          <w:lang w:val="fr-FR"/>
        </w:rPr>
        <w:t xml:space="preserve"> que celle-ci ne figur</w:t>
      </w:r>
      <w:r w:rsidR="00247CC4" w:rsidRPr="00130C7A">
        <w:rPr>
          <w:lang w:val="fr-FR"/>
        </w:rPr>
        <w:t>e</w:t>
      </w:r>
      <w:r w:rsidR="001F28E4" w:rsidRPr="00130C7A">
        <w:rPr>
          <w:lang w:val="fr-FR"/>
        </w:rPr>
        <w:t xml:space="preserve"> </w:t>
      </w:r>
      <w:r w:rsidR="005213F3" w:rsidRPr="00130C7A">
        <w:rPr>
          <w:lang w:val="fr-FR"/>
        </w:rPr>
        <w:t xml:space="preserve">même </w:t>
      </w:r>
      <w:r w:rsidR="001F28E4" w:rsidRPr="00130C7A">
        <w:rPr>
          <w:lang w:val="fr-FR"/>
        </w:rPr>
        <w:t>pas dans la liste des personnes rendant</w:t>
      </w:r>
      <w:r w:rsidR="00040C19" w:rsidRPr="00130C7A">
        <w:rPr>
          <w:lang w:val="fr-FR"/>
        </w:rPr>
        <w:t xml:space="preserve"> régulièrement </w:t>
      </w:r>
      <w:r w:rsidR="001F28E4" w:rsidRPr="00130C7A">
        <w:rPr>
          <w:lang w:val="fr-FR"/>
        </w:rPr>
        <w:t xml:space="preserve">visite </w:t>
      </w:r>
      <w:r w:rsidR="00040C19" w:rsidRPr="00130C7A">
        <w:rPr>
          <w:lang w:val="fr-FR"/>
        </w:rPr>
        <w:t xml:space="preserve">à A. </w:t>
      </w:r>
      <w:r w:rsidR="005213F3" w:rsidRPr="00130C7A">
        <w:rPr>
          <w:lang w:val="fr-FR"/>
        </w:rPr>
        <w:t>en prison</w:t>
      </w:r>
      <w:r w:rsidR="001F28E4" w:rsidRPr="00130C7A">
        <w:rPr>
          <w:lang w:val="fr-FR"/>
        </w:rPr>
        <w:t>, contrairement au requérant</w:t>
      </w:r>
      <w:r w:rsidR="00285C80" w:rsidRPr="00130C7A">
        <w:rPr>
          <w:lang w:val="fr-FR"/>
        </w:rPr>
        <w:t xml:space="preserve"> et à d</w:t>
      </w:r>
      <w:r w:rsidR="00130C7A" w:rsidRPr="00130C7A">
        <w:rPr>
          <w:lang w:val="fr-FR"/>
        </w:rPr>
        <w:t>’</w:t>
      </w:r>
      <w:r w:rsidR="00285C80" w:rsidRPr="00130C7A">
        <w:rPr>
          <w:lang w:val="fr-FR"/>
        </w:rPr>
        <w:t>autres membres de la famille.</w:t>
      </w:r>
      <w:r w:rsidR="00040C19" w:rsidRPr="00130C7A">
        <w:rPr>
          <w:lang w:val="fr-FR"/>
        </w:rPr>
        <w:t xml:space="preserve"> En outre, </w:t>
      </w:r>
      <w:r w:rsidR="005213F3" w:rsidRPr="00130C7A">
        <w:rPr>
          <w:lang w:val="fr-FR"/>
        </w:rPr>
        <w:t xml:space="preserve">il avance que </w:t>
      </w:r>
      <w:r w:rsidR="00040C19" w:rsidRPr="00130C7A">
        <w:rPr>
          <w:lang w:val="fr-FR"/>
        </w:rPr>
        <w:t>le droit italien ne considère pas les cousins comme étant des « parents proches ».</w:t>
      </w:r>
    </w:p>
    <w:p w:rsidR="00D77441" w:rsidRPr="00130C7A" w:rsidRDefault="00D77441"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36</w:t>
      </w:r>
      <w:r w:rsidRPr="00130C7A">
        <w:rPr>
          <w:lang w:val="fr-FR"/>
        </w:rPr>
        <w:fldChar w:fldCharType="end"/>
      </w:r>
      <w:r w:rsidRPr="00130C7A">
        <w:rPr>
          <w:lang w:val="fr-FR"/>
        </w:rPr>
        <w:t>.  L</w:t>
      </w:r>
      <w:r w:rsidR="00ED23A0" w:rsidRPr="00130C7A">
        <w:rPr>
          <w:lang w:val="fr-FR"/>
        </w:rPr>
        <w:t xml:space="preserve">es deux requérants </w:t>
      </w:r>
      <w:r w:rsidR="000D2094" w:rsidRPr="00130C7A">
        <w:rPr>
          <w:lang w:val="fr-FR"/>
        </w:rPr>
        <w:t>font valoir</w:t>
      </w:r>
      <w:r w:rsidR="00577CD7" w:rsidRPr="00130C7A">
        <w:rPr>
          <w:lang w:val="fr-FR"/>
        </w:rPr>
        <w:t xml:space="preserve"> </w:t>
      </w:r>
      <w:r w:rsidR="000F19E0" w:rsidRPr="00130C7A">
        <w:rPr>
          <w:lang w:val="fr-FR"/>
        </w:rPr>
        <w:t>qu</w:t>
      </w:r>
      <w:r w:rsidR="00130C7A" w:rsidRPr="00130C7A">
        <w:rPr>
          <w:lang w:val="fr-FR"/>
        </w:rPr>
        <w:t>’</w:t>
      </w:r>
      <w:r w:rsidR="000F19E0" w:rsidRPr="00130C7A">
        <w:rPr>
          <w:lang w:val="fr-FR"/>
        </w:rPr>
        <w:t>ils sont</w:t>
      </w:r>
      <w:r w:rsidR="00577CD7" w:rsidRPr="00130C7A">
        <w:rPr>
          <w:lang w:val="fr-FR"/>
        </w:rPr>
        <w:t xml:space="preserve"> de</w:t>
      </w:r>
      <w:r w:rsidR="00ED23A0" w:rsidRPr="00130C7A">
        <w:rPr>
          <w:lang w:val="fr-FR"/>
        </w:rPr>
        <w:t xml:space="preserve">s </w:t>
      </w:r>
      <w:r w:rsidR="004F51CE" w:rsidRPr="00130C7A">
        <w:rPr>
          <w:lang w:val="fr-FR"/>
        </w:rPr>
        <w:t>membres de la famille</w:t>
      </w:r>
      <w:r w:rsidR="00886029" w:rsidRPr="00130C7A">
        <w:rPr>
          <w:lang w:val="fr-FR"/>
        </w:rPr>
        <w:t xml:space="preserve"> </w:t>
      </w:r>
      <w:r w:rsidR="00577CD7" w:rsidRPr="00130C7A">
        <w:rPr>
          <w:lang w:val="fr-FR"/>
        </w:rPr>
        <w:t>proche</w:t>
      </w:r>
      <w:r w:rsidR="00ED23A0" w:rsidRPr="00130C7A">
        <w:rPr>
          <w:lang w:val="fr-FR"/>
        </w:rPr>
        <w:t xml:space="preserve"> d</w:t>
      </w:r>
      <w:r w:rsidR="005945AB" w:rsidRPr="00130C7A">
        <w:rPr>
          <w:lang w:val="fr-FR"/>
        </w:rPr>
        <w:t xml:space="preserve">e </w:t>
      </w:r>
      <w:r w:rsidR="00C2044C" w:rsidRPr="00130C7A">
        <w:rPr>
          <w:lang w:val="fr-FR"/>
        </w:rPr>
        <w:t>A., orphelin de ses deux parents depuis 1993</w:t>
      </w:r>
      <w:r w:rsidR="00DA1B9B" w:rsidRPr="00130C7A">
        <w:rPr>
          <w:lang w:val="fr-FR"/>
        </w:rPr>
        <w:t>.</w:t>
      </w:r>
      <w:r w:rsidR="00ED23A0" w:rsidRPr="00130C7A">
        <w:rPr>
          <w:lang w:val="fr-FR"/>
        </w:rPr>
        <w:t xml:space="preserve"> </w:t>
      </w:r>
      <w:r w:rsidR="001E6D46" w:rsidRPr="00130C7A">
        <w:rPr>
          <w:lang w:val="fr-FR"/>
        </w:rPr>
        <w:t>Ils affirment</w:t>
      </w:r>
      <w:r w:rsidR="00ED23A0" w:rsidRPr="00130C7A">
        <w:rPr>
          <w:lang w:val="fr-FR"/>
        </w:rPr>
        <w:t xml:space="preserve"> </w:t>
      </w:r>
      <w:r w:rsidR="000D2094" w:rsidRPr="00130C7A">
        <w:rPr>
          <w:lang w:val="fr-FR"/>
        </w:rPr>
        <w:t>s</w:t>
      </w:r>
      <w:r w:rsidR="00130C7A" w:rsidRPr="00130C7A">
        <w:rPr>
          <w:lang w:val="fr-FR"/>
        </w:rPr>
        <w:t>’</w:t>
      </w:r>
      <w:r w:rsidR="000D2094" w:rsidRPr="00130C7A">
        <w:rPr>
          <w:lang w:val="fr-FR"/>
        </w:rPr>
        <w:t>être toujours occupé</w:t>
      </w:r>
      <w:r w:rsidR="009250D6" w:rsidRPr="00130C7A">
        <w:rPr>
          <w:lang w:val="fr-FR"/>
        </w:rPr>
        <w:t>s de leur</w:t>
      </w:r>
      <w:r w:rsidR="000D2094" w:rsidRPr="00130C7A">
        <w:rPr>
          <w:lang w:val="fr-FR"/>
        </w:rPr>
        <w:t xml:space="preserve"> neveu et cousin </w:t>
      </w:r>
      <w:r w:rsidR="006C5C2F" w:rsidRPr="00130C7A">
        <w:rPr>
          <w:lang w:val="fr-FR"/>
        </w:rPr>
        <w:t>de son vivant,</w:t>
      </w:r>
      <w:r w:rsidR="000D2094" w:rsidRPr="00130C7A">
        <w:rPr>
          <w:lang w:val="fr-FR"/>
        </w:rPr>
        <w:t xml:space="preserve"> </w:t>
      </w:r>
      <w:r w:rsidR="00E62E5C" w:rsidRPr="00130C7A">
        <w:rPr>
          <w:lang w:val="fr-FR"/>
        </w:rPr>
        <w:t>et</w:t>
      </w:r>
      <w:r w:rsidR="000D2094" w:rsidRPr="00130C7A">
        <w:rPr>
          <w:lang w:val="fr-FR"/>
        </w:rPr>
        <w:t xml:space="preserve"> également après son décès, en </w:t>
      </w:r>
      <w:r w:rsidR="00C56D35" w:rsidRPr="00130C7A">
        <w:rPr>
          <w:lang w:val="fr-FR"/>
        </w:rPr>
        <w:t>prenant</w:t>
      </w:r>
      <w:r w:rsidR="00886029" w:rsidRPr="00130C7A">
        <w:rPr>
          <w:lang w:val="fr-FR"/>
        </w:rPr>
        <w:t xml:space="preserve"> notamment</w:t>
      </w:r>
      <w:r w:rsidR="00C56D35" w:rsidRPr="00130C7A">
        <w:rPr>
          <w:lang w:val="fr-FR"/>
        </w:rPr>
        <w:t xml:space="preserve"> part</w:t>
      </w:r>
      <w:r w:rsidR="000D2094" w:rsidRPr="00130C7A">
        <w:rPr>
          <w:lang w:val="fr-FR"/>
        </w:rPr>
        <w:t xml:space="preserve"> à la procédure </w:t>
      </w:r>
      <w:r w:rsidR="00C56D35" w:rsidRPr="00130C7A">
        <w:rPr>
          <w:lang w:val="fr-FR"/>
        </w:rPr>
        <w:t>engagée</w:t>
      </w:r>
      <w:r w:rsidR="00DA1B9B" w:rsidRPr="00130C7A">
        <w:rPr>
          <w:lang w:val="fr-FR"/>
        </w:rPr>
        <w:t xml:space="preserve"> par les autorités </w:t>
      </w:r>
      <w:r w:rsidR="003B4E6F" w:rsidRPr="00130C7A">
        <w:rPr>
          <w:lang w:val="fr-FR"/>
        </w:rPr>
        <w:t>afin d</w:t>
      </w:r>
      <w:r w:rsidR="00130C7A" w:rsidRPr="00130C7A">
        <w:rPr>
          <w:lang w:val="fr-FR"/>
        </w:rPr>
        <w:t>’</w:t>
      </w:r>
      <w:r w:rsidR="000D2094" w:rsidRPr="00130C7A">
        <w:rPr>
          <w:lang w:val="fr-FR"/>
        </w:rPr>
        <w:t xml:space="preserve">élucider </w:t>
      </w:r>
      <w:r w:rsidR="00E20B4C" w:rsidRPr="00130C7A">
        <w:rPr>
          <w:lang w:val="fr-FR"/>
        </w:rPr>
        <w:t>l</w:t>
      </w:r>
      <w:r w:rsidR="00C56D35" w:rsidRPr="00130C7A">
        <w:rPr>
          <w:lang w:val="fr-FR"/>
        </w:rPr>
        <w:t>es</w:t>
      </w:r>
      <w:r w:rsidR="00E20B4C" w:rsidRPr="00130C7A">
        <w:rPr>
          <w:lang w:val="fr-FR"/>
        </w:rPr>
        <w:t xml:space="preserve"> circonstance</w:t>
      </w:r>
      <w:r w:rsidR="00C56D35" w:rsidRPr="00130C7A">
        <w:rPr>
          <w:lang w:val="fr-FR"/>
        </w:rPr>
        <w:t>s</w:t>
      </w:r>
      <w:r w:rsidR="000D2094" w:rsidRPr="00130C7A">
        <w:rPr>
          <w:lang w:val="fr-FR"/>
        </w:rPr>
        <w:t xml:space="preserve"> de </w:t>
      </w:r>
      <w:r w:rsidR="00886029" w:rsidRPr="00130C7A">
        <w:rPr>
          <w:lang w:val="fr-FR"/>
        </w:rPr>
        <w:t>sa</w:t>
      </w:r>
      <w:r w:rsidR="000D2094" w:rsidRPr="00130C7A">
        <w:rPr>
          <w:lang w:val="fr-FR"/>
        </w:rPr>
        <w:t xml:space="preserve"> mort.</w:t>
      </w:r>
    </w:p>
    <w:p w:rsidR="00E50202" w:rsidRPr="00130C7A" w:rsidRDefault="00D77441"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37</w:t>
      </w:r>
      <w:r w:rsidRPr="00130C7A">
        <w:rPr>
          <w:lang w:val="fr-FR"/>
        </w:rPr>
        <w:fldChar w:fldCharType="end"/>
      </w:r>
      <w:r w:rsidRPr="00130C7A">
        <w:rPr>
          <w:lang w:val="fr-FR"/>
        </w:rPr>
        <w:t>.  </w:t>
      </w:r>
      <w:r w:rsidR="00886029" w:rsidRPr="00130C7A">
        <w:rPr>
          <w:lang w:val="fr-FR"/>
        </w:rPr>
        <w:t>L</w:t>
      </w:r>
      <w:r w:rsidR="000F19E0" w:rsidRPr="00130C7A">
        <w:rPr>
          <w:lang w:val="fr-FR"/>
        </w:rPr>
        <w:t>a Cour rappelle que</w:t>
      </w:r>
      <w:r w:rsidR="00E50202" w:rsidRPr="00130C7A">
        <w:rPr>
          <w:lang w:val="fr-FR"/>
        </w:rPr>
        <w:t xml:space="preserve"> </w:t>
      </w:r>
      <w:r w:rsidR="00B10221" w:rsidRPr="00130C7A">
        <w:rPr>
          <w:lang w:val="fr-FR"/>
        </w:rPr>
        <w:t>dans les affaires soulevant des questions sous l</w:t>
      </w:r>
      <w:r w:rsidR="00130C7A" w:rsidRPr="00130C7A">
        <w:rPr>
          <w:lang w:val="fr-FR"/>
        </w:rPr>
        <w:t>’</w:t>
      </w:r>
      <w:r w:rsidR="00B10221" w:rsidRPr="00130C7A">
        <w:rPr>
          <w:lang w:val="fr-FR"/>
        </w:rPr>
        <w:t>angle de l</w:t>
      </w:r>
      <w:r w:rsidR="00130C7A" w:rsidRPr="00130C7A">
        <w:rPr>
          <w:lang w:val="fr-FR"/>
        </w:rPr>
        <w:t>’</w:t>
      </w:r>
      <w:r w:rsidR="00B10221" w:rsidRPr="00130C7A">
        <w:rPr>
          <w:lang w:val="fr-FR"/>
        </w:rPr>
        <w:t>article 2 de la Convention, une personne ayant l</w:t>
      </w:r>
      <w:r w:rsidR="00130C7A" w:rsidRPr="00130C7A">
        <w:rPr>
          <w:lang w:val="fr-FR"/>
        </w:rPr>
        <w:t>’</w:t>
      </w:r>
      <w:r w:rsidR="00B10221" w:rsidRPr="00130C7A">
        <w:rPr>
          <w:lang w:val="fr-FR"/>
        </w:rPr>
        <w:t xml:space="preserve">intérêt légitime requis en tant que proche du défunt </w:t>
      </w:r>
      <w:r w:rsidR="00351ACF" w:rsidRPr="00130C7A">
        <w:rPr>
          <w:lang w:val="fr-FR"/>
        </w:rPr>
        <w:t xml:space="preserve">peut </w:t>
      </w:r>
      <w:r w:rsidR="00B10221" w:rsidRPr="00130C7A">
        <w:rPr>
          <w:lang w:val="fr-FR"/>
        </w:rPr>
        <w:t xml:space="preserve">se déclarer </w:t>
      </w:r>
      <w:r w:rsidR="005213F3" w:rsidRPr="00130C7A">
        <w:rPr>
          <w:lang w:val="fr-FR"/>
        </w:rPr>
        <w:t>requérant</w:t>
      </w:r>
      <w:r w:rsidR="00B10221" w:rsidRPr="00130C7A">
        <w:rPr>
          <w:lang w:val="fr-FR"/>
        </w:rPr>
        <w:t xml:space="preserve"> à part entière, c</w:t>
      </w:r>
      <w:r w:rsidR="00130C7A" w:rsidRPr="00130C7A">
        <w:rPr>
          <w:lang w:val="fr-FR"/>
        </w:rPr>
        <w:t>’</w:t>
      </w:r>
      <w:r w:rsidR="00B10221" w:rsidRPr="00130C7A">
        <w:rPr>
          <w:lang w:val="fr-FR"/>
        </w:rPr>
        <w:t>est là une situation particulière régie par la nature de la violation alléguée et des considérations liées à l</w:t>
      </w:r>
      <w:r w:rsidR="00130C7A" w:rsidRPr="00130C7A">
        <w:rPr>
          <w:lang w:val="fr-FR"/>
        </w:rPr>
        <w:t>’</w:t>
      </w:r>
      <w:r w:rsidR="00B10221" w:rsidRPr="00130C7A">
        <w:rPr>
          <w:lang w:val="fr-FR"/>
        </w:rPr>
        <w:t>application effective de l</w:t>
      </w:r>
      <w:r w:rsidR="00130C7A" w:rsidRPr="00130C7A">
        <w:rPr>
          <w:lang w:val="fr-FR"/>
        </w:rPr>
        <w:t>’</w:t>
      </w:r>
      <w:r w:rsidR="00B10221" w:rsidRPr="00130C7A">
        <w:rPr>
          <w:lang w:val="fr-FR"/>
        </w:rPr>
        <w:t>une des dispositions les plus fondamentales du système de la Convention (</w:t>
      </w:r>
      <w:r w:rsidR="003938CF" w:rsidRPr="00130C7A">
        <w:rPr>
          <w:i/>
          <w:lang w:val="fr-FR"/>
        </w:rPr>
        <w:t>Fairfield et autres c. </w:t>
      </w:r>
      <w:r w:rsidR="00B10221" w:rsidRPr="00130C7A">
        <w:rPr>
          <w:i/>
          <w:lang w:val="fr-FR"/>
        </w:rPr>
        <w:t>Royaume-Uni</w:t>
      </w:r>
      <w:r w:rsidR="00B10221" w:rsidRPr="00130C7A">
        <w:rPr>
          <w:lang w:val="fr-FR"/>
        </w:rPr>
        <w:t xml:space="preserve"> (déc.), n</w:t>
      </w:r>
      <w:r w:rsidR="00775C5B" w:rsidRPr="00130C7A">
        <w:rPr>
          <w:vertAlign w:val="superscript"/>
          <w:lang w:val="fr-FR"/>
        </w:rPr>
        <w:t>o</w:t>
      </w:r>
      <w:r w:rsidR="00AD619D" w:rsidRPr="00130C7A">
        <w:rPr>
          <w:vertAlign w:val="superscript"/>
          <w:lang w:val="fr-FR"/>
        </w:rPr>
        <w:t> </w:t>
      </w:r>
      <w:r w:rsidR="00B10221" w:rsidRPr="00130C7A">
        <w:rPr>
          <w:lang w:val="fr-FR"/>
        </w:rPr>
        <w:t>24790/04, CEDH 2005</w:t>
      </w:r>
      <w:r w:rsidR="00B10221" w:rsidRPr="00130C7A">
        <w:rPr>
          <w:rFonts w:ascii="MS Mincho" w:eastAsia="MS Mincho" w:hAnsi="MS Mincho" w:cs="MS Mincho" w:hint="eastAsia"/>
          <w:lang w:val="fr-FR"/>
        </w:rPr>
        <w:t>‑</w:t>
      </w:r>
      <w:r w:rsidR="00B10221" w:rsidRPr="00130C7A">
        <w:rPr>
          <w:lang w:val="fr-FR"/>
        </w:rPr>
        <w:t xml:space="preserve">VI et </w:t>
      </w:r>
      <w:proofErr w:type="spellStart"/>
      <w:r w:rsidR="00B10221" w:rsidRPr="00130C7A">
        <w:rPr>
          <w:i/>
          <w:lang w:val="fr-FR"/>
        </w:rPr>
        <w:t>Varnava</w:t>
      </w:r>
      <w:proofErr w:type="spellEnd"/>
      <w:r w:rsidR="00B10221" w:rsidRPr="00130C7A">
        <w:rPr>
          <w:i/>
          <w:lang w:val="fr-FR"/>
        </w:rPr>
        <w:t xml:space="preserve"> et autres c. Turquie </w:t>
      </w:r>
      <w:r w:rsidR="00B10221" w:rsidRPr="00130C7A">
        <w:rPr>
          <w:lang w:val="fr-FR"/>
        </w:rPr>
        <w:t>[GC], n</w:t>
      </w:r>
      <w:r w:rsidR="00B10221" w:rsidRPr="00130C7A">
        <w:rPr>
          <w:vertAlign w:val="superscript"/>
          <w:lang w:val="fr-FR"/>
        </w:rPr>
        <w:t>os</w:t>
      </w:r>
      <w:r w:rsidR="00AD619D" w:rsidRPr="00130C7A">
        <w:rPr>
          <w:vertAlign w:val="superscript"/>
          <w:lang w:val="fr-FR"/>
        </w:rPr>
        <w:t> </w:t>
      </w:r>
      <w:r w:rsidR="00B10221" w:rsidRPr="00130C7A">
        <w:rPr>
          <w:lang w:val="fr-FR"/>
        </w:rPr>
        <w:t>16064/90, 16065/90, 16066/90, 16068/90, 16069/90, 16070/90, 16071/90, 16072/90 et 16073/90, § 111, CEDH 2009).</w:t>
      </w:r>
    </w:p>
    <w:p w:rsidR="00775C5B" w:rsidRPr="00130C7A" w:rsidRDefault="001A1561" w:rsidP="00130C7A">
      <w:pPr>
        <w:pStyle w:val="ECHRPara"/>
        <w:keepNext/>
        <w:keepLines/>
        <w:rPr>
          <w:lang w:val="fr-FR"/>
        </w:rPr>
      </w:pPr>
      <w:r w:rsidRPr="00130C7A">
        <w:rPr>
          <w:lang w:val="fr-FR"/>
        </w:rPr>
        <w:lastRenderedPageBreak/>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38</w:t>
      </w:r>
      <w:r w:rsidRPr="00130C7A">
        <w:rPr>
          <w:lang w:val="fr-FR"/>
        </w:rPr>
        <w:fldChar w:fldCharType="end"/>
      </w:r>
      <w:r w:rsidRPr="00130C7A">
        <w:rPr>
          <w:lang w:val="fr-FR"/>
        </w:rPr>
        <w:t>.  </w:t>
      </w:r>
      <w:r w:rsidR="00181184" w:rsidRPr="00130C7A">
        <w:rPr>
          <w:lang w:val="fr-FR"/>
        </w:rPr>
        <w:t>Ainsi, l</w:t>
      </w:r>
      <w:r w:rsidR="00886029" w:rsidRPr="00130C7A">
        <w:rPr>
          <w:lang w:val="fr-FR"/>
        </w:rPr>
        <w:t>es</w:t>
      </w:r>
      <w:r w:rsidR="001A5611" w:rsidRPr="00130C7A">
        <w:rPr>
          <w:lang w:val="fr-FR"/>
        </w:rPr>
        <w:t xml:space="preserve"> organes de la Convention ont toujours et de manière inconditionnelle considéré qu</w:t>
      </w:r>
      <w:r w:rsidR="00130C7A" w:rsidRPr="00130C7A">
        <w:rPr>
          <w:lang w:val="fr-FR"/>
        </w:rPr>
        <w:t>’</w:t>
      </w:r>
      <w:r w:rsidR="001A5611" w:rsidRPr="00130C7A">
        <w:rPr>
          <w:lang w:val="fr-FR"/>
        </w:rPr>
        <w:t>un parent, un frère, une sœur, un neveu ou une nièce d</w:t>
      </w:r>
      <w:r w:rsidR="00130C7A" w:rsidRPr="00130C7A">
        <w:rPr>
          <w:lang w:val="fr-FR"/>
        </w:rPr>
        <w:t>’</w:t>
      </w:r>
      <w:r w:rsidR="001A5611" w:rsidRPr="00130C7A">
        <w:rPr>
          <w:lang w:val="fr-FR"/>
        </w:rPr>
        <w:t>une personne dont il est allégué que le décès engage la responsabilité de l</w:t>
      </w:r>
      <w:r w:rsidR="00130C7A" w:rsidRPr="00130C7A">
        <w:rPr>
          <w:lang w:val="fr-FR"/>
        </w:rPr>
        <w:t>’</w:t>
      </w:r>
      <w:r w:rsidR="000F19E0" w:rsidRPr="00130C7A">
        <w:rPr>
          <w:lang w:val="fr-FR"/>
        </w:rPr>
        <w:t>État</w:t>
      </w:r>
      <w:r w:rsidR="001A5611" w:rsidRPr="00130C7A">
        <w:rPr>
          <w:lang w:val="fr-FR"/>
        </w:rPr>
        <w:t xml:space="preserve"> défendeur peuvent se prétendre victimes d</w:t>
      </w:r>
      <w:r w:rsidR="00130C7A" w:rsidRPr="00130C7A">
        <w:rPr>
          <w:lang w:val="fr-FR"/>
        </w:rPr>
        <w:t>’</w:t>
      </w:r>
      <w:r w:rsidR="001A5611" w:rsidRPr="00130C7A">
        <w:rPr>
          <w:lang w:val="fr-FR"/>
        </w:rPr>
        <w:t>une violation de l</w:t>
      </w:r>
      <w:r w:rsidR="00130C7A" w:rsidRPr="00130C7A">
        <w:rPr>
          <w:lang w:val="fr-FR"/>
        </w:rPr>
        <w:t>’</w:t>
      </w:r>
      <w:r w:rsidR="001A5611" w:rsidRPr="00130C7A">
        <w:rPr>
          <w:lang w:val="fr-FR"/>
        </w:rPr>
        <w:t>article 2 de la Convention, même lorsque des parents plus proches, tels les propres enfants du défun</w:t>
      </w:r>
      <w:r w:rsidR="006070A8" w:rsidRPr="00130C7A">
        <w:rPr>
          <w:lang w:val="fr-FR"/>
        </w:rPr>
        <w:t>t, n</w:t>
      </w:r>
      <w:r w:rsidR="00130C7A" w:rsidRPr="00130C7A">
        <w:rPr>
          <w:lang w:val="fr-FR"/>
        </w:rPr>
        <w:t>’</w:t>
      </w:r>
      <w:r w:rsidR="006070A8" w:rsidRPr="00130C7A">
        <w:rPr>
          <w:lang w:val="fr-FR"/>
        </w:rPr>
        <w:t xml:space="preserve">ont pas soumis de requête </w:t>
      </w:r>
      <w:r w:rsidR="001A5611" w:rsidRPr="00130C7A">
        <w:rPr>
          <w:lang w:val="fr-FR"/>
        </w:rPr>
        <w:t>(</w:t>
      </w:r>
      <w:proofErr w:type="spellStart"/>
      <w:r w:rsidR="00DA78E2" w:rsidRPr="00130C7A">
        <w:rPr>
          <w:i/>
          <w:lang w:val="fr-FR"/>
        </w:rPr>
        <w:t>Velikova</w:t>
      </w:r>
      <w:proofErr w:type="spellEnd"/>
      <w:r w:rsidR="00DA78E2" w:rsidRPr="00130C7A">
        <w:rPr>
          <w:i/>
          <w:lang w:val="fr-FR"/>
        </w:rPr>
        <w:t xml:space="preserve"> c. Bulgarie</w:t>
      </w:r>
      <w:r w:rsidR="00DA78E2" w:rsidRPr="00130C7A">
        <w:rPr>
          <w:lang w:val="fr-FR"/>
        </w:rPr>
        <w:t xml:space="preserve"> (d</w:t>
      </w:r>
      <w:r w:rsidR="00DA78E2" w:rsidRPr="00130C7A">
        <w:rPr>
          <w:rFonts w:ascii="Times New Roman" w:hAnsi="Times New Roman" w:cs="Times New Roman"/>
          <w:lang w:val="fr-FR"/>
        </w:rPr>
        <w:t>é</w:t>
      </w:r>
      <w:r w:rsidR="00DA78E2" w:rsidRPr="00130C7A">
        <w:rPr>
          <w:lang w:val="fr-FR"/>
        </w:rPr>
        <w:t>c.), n</w:t>
      </w:r>
      <w:r w:rsidR="001E18AA" w:rsidRPr="00130C7A">
        <w:rPr>
          <w:vertAlign w:val="superscript"/>
          <w:lang w:val="fr-FR"/>
        </w:rPr>
        <w:t>o</w:t>
      </w:r>
      <w:r w:rsidR="00DA78E2" w:rsidRPr="00130C7A">
        <w:rPr>
          <w:lang w:val="fr-FR"/>
        </w:rPr>
        <w:t xml:space="preserve"> 41488/98, CEDH 1999</w:t>
      </w:r>
      <w:r w:rsidR="00DA78E2" w:rsidRPr="00130C7A">
        <w:rPr>
          <w:rFonts w:ascii="MS Mincho" w:eastAsia="MS Mincho" w:hAnsi="MS Mincho" w:cs="MS Mincho" w:hint="eastAsia"/>
          <w:lang w:val="fr-FR"/>
        </w:rPr>
        <w:t>‑</w:t>
      </w:r>
      <w:r w:rsidR="00DA78E2" w:rsidRPr="00130C7A">
        <w:rPr>
          <w:lang w:val="fr-FR"/>
        </w:rPr>
        <w:t>V (extraits</w:t>
      </w:r>
      <w:r w:rsidR="00A94A01" w:rsidRPr="00130C7A">
        <w:rPr>
          <w:lang w:val="fr-FR"/>
        </w:rPr>
        <w:t>)</w:t>
      </w:r>
      <w:r w:rsidR="000F19E0" w:rsidRPr="00130C7A">
        <w:rPr>
          <w:lang w:val="fr-FR"/>
        </w:rPr>
        <w:t>,</w:t>
      </w:r>
      <w:r w:rsidR="00A94A01" w:rsidRPr="00130C7A">
        <w:rPr>
          <w:lang w:val="fr-FR"/>
        </w:rPr>
        <w:t xml:space="preserve"> et</w:t>
      </w:r>
      <w:r w:rsidR="00A94A01" w:rsidRPr="00130C7A">
        <w:rPr>
          <w:i/>
          <w:lang w:val="fr-FR"/>
        </w:rPr>
        <w:t xml:space="preserve"> </w:t>
      </w:r>
      <w:proofErr w:type="spellStart"/>
      <w:r w:rsidR="00A94A01" w:rsidRPr="00130C7A">
        <w:rPr>
          <w:i/>
          <w:lang w:val="fr-FR"/>
        </w:rPr>
        <w:t>Yurtsever</w:t>
      </w:r>
      <w:proofErr w:type="spellEnd"/>
      <w:r w:rsidR="00A94A01" w:rsidRPr="00130C7A">
        <w:rPr>
          <w:i/>
          <w:lang w:val="fr-FR"/>
        </w:rPr>
        <w:t xml:space="preserve"> et autres c. Turquie</w:t>
      </w:r>
      <w:r w:rsidR="00A94A01" w:rsidRPr="00130C7A">
        <w:rPr>
          <w:snapToGrid w:val="0"/>
          <w:lang w:val="fr-FR"/>
        </w:rPr>
        <w:t>, n</w:t>
      </w:r>
      <w:r w:rsidR="00A94A01" w:rsidRPr="00130C7A">
        <w:rPr>
          <w:snapToGrid w:val="0"/>
          <w:vertAlign w:val="superscript"/>
          <w:lang w:val="fr-FR"/>
        </w:rPr>
        <w:t>o</w:t>
      </w:r>
      <w:r w:rsidR="00A94A01" w:rsidRPr="00130C7A">
        <w:rPr>
          <w:snapToGrid w:val="0"/>
          <w:lang w:val="fr-FR"/>
        </w:rPr>
        <w:t xml:space="preserve"> </w:t>
      </w:r>
      <w:r w:rsidR="00A94A01" w:rsidRPr="00130C7A">
        <w:rPr>
          <w:lang w:val="fr-FR"/>
        </w:rPr>
        <w:t>22965/10</w:t>
      </w:r>
      <w:r w:rsidR="00A94A01" w:rsidRPr="00130C7A">
        <w:rPr>
          <w:snapToGrid w:val="0"/>
          <w:lang w:val="fr-FR"/>
        </w:rPr>
        <w:t>, § 49, 8</w:t>
      </w:r>
      <w:r w:rsidR="000F19E0" w:rsidRPr="00130C7A">
        <w:rPr>
          <w:snapToGrid w:val="0"/>
          <w:lang w:val="fr-FR"/>
        </w:rPr>
        <w:t> </w:t>
      </w:r>
      <w:r w:rsidR="00A94A01" w:rsidRPr="00130C7A">
        <w:rPr>
          <w:lang w:val="fr-FR"/>
        </w:rPr>
        <w:t>juillet</w:t>
      </w:r>
      <w:r w:rsidR="00A94A01" w:rsidRPr="00130C7A">
        <w:rPr>
          <w:snapToGrid w:val="0"/>
          <w:lang w:val="fr-FR"/>
        </w:rPr>
        <w:t xml:space="preserve"> 2014</w:t>
      </w:r>
      <w:r w:rsidR="00EF3FCC" w:rsidRPr="00130C7A">
        <w:rPr>
          <w:lang w:val="fr-FR"/>
        </w:rPr>
        <w:t>).</w:t>
      </w:r>
      <w:r w:rsidR="00481A06" w:rsidRPr="00130C7A">
        <w:rPr>
          <w:lang w:val="fr-FR"/>
        </w:rPr>
        <w:t xml:space="preserve"> </w:t>
      </w:r>
      <w:r w:rsidR="006F677D" w:rsidRPr="00130C7A">
        <w:rPr>
          <w:lang w:val="fr-FR"/>
        </w:rPr>
        <w:t>En revanche,</w:t>
      </w:r>
      <w:r w:rsidR="000C1121" w:rsidRPr="00130C7A">
        <w:rPr>
          <w:lang w:val="fr-FR"/>
        </w:rPr>
        <w:t xml:space="preserve"> la qualité de victime d</w:t>
      </w:r>
      <w:r w:rsidR="00130C7A" w:rsidRPr="00130C7A">
        <w:rPr>
          <w:lang w:val="fr-FR"/>
        </w:rPr>
        <w:t>’</w:t>
      </w:r>
      <w:r w:rsidR="000C1121" w:rsidRPr="00130C7A">
        <w:rPr>
          <w:lang w:val="fr-FR"/>
        </w:rPr>
        <w:t>un cousin n</w:t>
      </w:r>
      <w:r w:rsidR="00130C7A" w:rsidRPr="00130C7A">
        <w:rPr>
          <w:lang w:val="fr-FR"/>
        </w:rPr>
        <w:t>’</w:t>
      </w:r>
      <w:r w:rsidR="000C1121" w:rsidRPr="00130C7A">
        <w:rPr>
          <w:lang w:val="fr-FR"/>
        </w:rPr>
        <w:t xml:space="preserve">est pas reconnue de manière </w:t>
      </w:r>
      <w:r w:rsidRPr="00130C7A">
        <w:rPr>
          <w:lang w:val="fr-FR"/>
        </w:rPr>
        <w:t>automatique</w:t>
      </w:r>
      <w:r w:rsidR="000C1121" w:rsidRPr="00130C7A">
        <w:rPr>
          <w:lang w:val="fr-FR"/>
        </w:rPr>
        <w:t xml:space="preserve"> par la Cour. S</w:t>
      </w:r>
      <w:r w:rsidR="00130C7A" w:rsidRPr="00130C7A">
        <w:rPr>
          <w:lang w:val="fr-FR"/>
        </w:rPr>
        <w:t>’</w:t>
      </w:r>
      <w:r w:rsidR="00F67191" w:rsidRPr="00130C7A">
        <w:rPr>
          <w:lang w:val="fr-FR"/>
        </w:rPr>
        <w:t>il est vrai q</w:t>
      </w:r>
      <w:r w:rsidR="000C1121" w:rsidRPr="00130C7A">
        <w:rPr>
          <w:lang w:val="fr-FR"/>
        </w:rPr>
        <w:t>ue celle-ci a</w:t>
      </w:r>
      <w:r w:rsidR="00F67191" w:rsidRPr="00130C7A">
        <w:rPr>
          <w:lang w:val="fr-FR"/>
        </w:rPr>
        <w:t xml:space="preserve"> accepté </w:t>
      </w:r>
      <w:r w:rsidR="00351ACF" w:rsidRPr="00130C7A">
        <w:rPr>
          <w:lang w:val="fr-FR"/>
        </w:rPr>
        <w:t xml:space="preserve">des requêtes </w:t>
      </w:r>
      <w:r w:rsidR="003C4DFB" w:rsidRPr="00130C7A">
        <w:rPr>
          <w:lang w:val="fr-FR"/>
        </w:rPr>
        <w:t>introduites par des</w:t>
      </w:r>
      <w:r w:rsidR="00CC4979" w:rsidRPr="00130C7A">
        <w:rPr>
          <w:lang w:val="fr-FR"/>
        </w:rPr>
        <w:t xml:space="preserve"> </w:t>
      </w:r>
      <w:r w:rsidR="00351ACF" w:rsidRPr="00130C7A">
        <w:rPr>
          <w:lang w:val="fr-FR"/>
        </w:rPr>
        <w:t xml:space="preserve">cousins </w:t>
      </w:r>
      <w:r w:rsidR="00CC4979" w:rsidRPr="00130C7A">
        <w:rPr>
          <w:lang w:val="fr-FR"/>
        </w:rPr>
        <w:t>soulev</w:t>
      </w:r>
      <w:r w:rsidR="003C4DFB" w:rsidRPr="00130C7A">
        <w:rPr>
          <w:lang w:val="fr-FR"/>
        </w:rPr>
        <w:t>a</w:t>
      </w:r>
      <w:r w:rsidR="00131058" w:rsidRPr="00130C7A">
        <w:rPr>
          <w:lang w:val="fr-FR"/>
        </w:rPr>
        <w:t>n</w:t>
      </w:r>
      <w:r w:rsidR="0028169C" w:rsidRPr="00130C7A">
        <w:rPr>
          <w:lang w:val="fr-FR"/>
        </w:rPr>
        <w:t>t</w:t>
      </w:r>
      <w:r w:rsidR="00351ACF" w:rsidRPr="00130C7A">
        <w:rPr>
          <w:lang w:val="fr-FR"/>
        </w:rPr>
        <w:t xml:space="preserve"> des griefs liés au décès</w:t>
      </w:r>
      <w:r w:rsidR="00CB3C39" w:rsidRPr="00130C7A">
        <w:rPr>
          <w:lang w:val="fr-FR"/>
        </w:rPr>
        <w:t xml:space="preserve"> de leur proche</w:t>
      </w:r>
      <w:r w:rsidR="00351ACF" w:rsidRPr="00130C7A">
        <w:rPr>
          <w:lang w:val="fr-FR"/>
        </w:rPr>
        <w:t xml:space="preserve"> </w:t>
      </w:r>
      <w:r w:rsidR="000C1121" w:rsidRPr="00130C7A">
        <w:rPr>
          <w:lang w:val="fr-FR"/>
        </w:rPr>
        <w:t xml:space="preserve">(voir, </w:t>
      </w:r>
      <w:r w:rsidR="000C1121" w:rsidRPr="00130C7A">
        <w:rPr>
          <w:i/>
          <w:lang w:val="fr-FR"/>
        </w:rPr>
        <w:t>Armani Da Silva c. Royaume-Uni</w:t>
      </w:r>
      <w:r w:rsidR="000C1121" w:rsidRPr="00130C7A">
        <w:rPr>
          <w:lang w:val="fr-FR"/>
        </w:rPr>
        <w:t xml:space="preserve"> [GC], n</w:t>
      </w:r>
      <w:r w:rsidR="000C1121" w:rsidRPr="00130C7A">
        <w:rPr>
          <w:vertAlign w:val="superscript"/>
          <w:lang w:val="fr-FR"/>
        </w:rPr>
        <w:t>o</w:t>
      </w:r>
      <w:r w:rsidR="000C1121" w:rsidRPr="00130C7A">
        <w:rPr>
          <w:lang w:val="fr-FR"/>
        </w:rPr>
        <w:t xml:space="preserve"> 5878/08, §§</w:t>
      </w:r>
      <w:r w:rsidR="00AD619D" w:rsidRPr="00130C7A">
        <w:rPr>
          <w:lang w:val="fr-FR"/>
        </w:rPr>
        <w:t> </w:t>
      </w:r>
      <w:r w:rsidR="003938CF" w:rsidRPr="00130C7A">
        <w:rPr>
          <w:lang w:val="fr-FR"/>
        </w:rPr>
        <w:t>186-189, 30 </w:t>
      </w:r>
      <w:r w:rsidR="000C1121" w:rsidRPr="00130C7A">
        <w:rPr>
          <w:lang w:val="fr-FR"/>
        </w:rPr>
        <w:t xml:space="preserve">mars 2016 ; </w:t>
      </w:r>
      <w:r w:rsidR="000C1121" w:rsidRPr="00130C7A">
        <w:rPr>
          <w:i/>
          <w:lang w:val="fr-FR"/>
        </w:rPr>
        <w:t>Van Melle et autres c. Pays-Bas</w:t>
      </w:r>
      <w:r w:rsidR="000C1121" w:rsidRPr="00130C7A">
        <w:rPr>
          <w:lang w:val="fr-FR"/>
        </w:rPr>
        <w:t xml:space="preserve"> (déc.), n</w:t>
      </w:r>
      <w:r w:rsidR="000C1121" w:rsidRPr="00130C7A">
        <w:rPr>
          <w:vertAlign w:val="superscript"/>
          <w:lang w:val="fr-FR"/>
        </w:rPr>
        <w:t>o</w:t>
      </w:r>
      <w:r w:rsidR="00AD619D" w:rsidRPr="00130C7A">
        <w:rPr>
          <w:vertAlign w:val="superscript"/>
          <w:lang w:val="fr-FR"/>
        </w:rPr>
        <w:t> </w:t>
      </w:r>
      <w:r w:rsidR="003938CF" w:rsidRPr="00130C7A">
        <w:rPr>
          <w:lang w:val="fr-FR"/>
        </w:rPr>
        <w:t>19221/08, 29 </w:t>
      </w:r>
      <w:r w:rsidR="000C1121" w:rsidRPr="00130C7A">
        <w:rPr>
          <w:lang w:val="fr-FR"/>
        </w:rPr>
        <w:t xml:space="preserve">septembre 2009 ; </w:t>
      </w:r>
      <w:proofErr w:type="spellStart"/>
      <w:r w:rsidR="000C1121" w:rsidRPr="00130C7A">
        <w:rPr>
          <w:i/>
          <w:lang w:val="fr-FR"/>
        </w:rPr>
        <w:t>Arapkhanovy</w:t>
      </w:r>
      <w:proofErr w:type="spellEnd"/>
      <w:r w:rsidR="000C1121" w:rsidRPr="00130C7A">
        <w:rPr>
          <w:i/>
          <w:lang w:val="fr-FR"/>
        </w:rPr>
        <w:t xml:space="preserve"> c. Russie</w:t>
      </w:r>
      <w:r w:rsidR="000C1121" w:rsidRPr="00130C7A">
        <w:rPr>
          <w:lang w:val="fr-FR"/>
        </w:rPr>
        <w:t>, n</w:t>
      </w:r>
      <w:r w:rsidR="00775C5B" w:rsidRPr="00130C7A">
        <w:rPr>
          <w:vertAlign w:val="superscript"/>
          <w:lang w:val="fr-FR"/>
        </w:rPr>
        <w:t>o</w:t>
      </w:r>
      <w:r w:rsidR="00AD619D" w:rsidRPr="00130C7A">
        <w:rPr>
          <w:vertAlign w:val="superscript"/>
          <w:lang w:val="fr-FR"/>
        </w:rPr>
        <w:t> </w:t>
      </w:r>
      <w:r w:rsidR="000C1121" w:rsidRPr="00130C7A">
        <w:rPr>
          <w:lang w:val="fr-FR"/>
        </w:rPr>
        <w:t>2215/05</w:t>
      </w:r>
      <w:r w:rsidR="00AD619D" w:rsidRPr="00130C7A">
        <w:rPr>
          <w:lang w:val="fr-FR"/>
        </w:rPr>
        <w:t> </w:t>
      </w:r>
      <w:r w:rsidR="000C1121" w:rsidRPr="00130C7A">
        <w:rPr>
          <w:lang w:val="fr-FR"/>
        </w:rPr>
        <w:t>§§</w:t>
      </w:r>
      <w:r w:rsidR="00AD619D" w:rsidRPr="00130C7A">
        <w:rPr>
          <w:lang w:val="fr-FR"/>
        </w:rPr>
        <w:t> </w:t>
      </w:r>
      <w:r w:rsidR="000C1121" w:rsidRPr="00130C7A">
        <w:rPr>
          <w:lang w:val="fr-FR"/>
        </w:rPr>
        <w:t xml:space="preserve">7 </w:t>
      </w:r>
      <w:r w:rsidR="00CC4979" w:rsidRPr="00130C7A">
        <w:rPr>
          <w:lang w:val="fr-FR"/>
        </w:rPr>
        <w:t>et</w:t>
      </w:r>
      <w:r w:rsidR="000C1121" w:rsidRPr="00130C7A">
        <w:rPr>
          <w:lang w:val="fr-FR"/>
        </w:rPr>
        <w:t xml:space="preserve"> 107, 3 octobre 2013), </w:t>
      </w:r>
      <w:r w:rsidR="00247CC4" w:rsidRPr="00130C7A">
        <w:rPr>
          <w:lang w:val="fr-FR"/>
        </w:rPr>
        <w:t>la Cour</w:t>
      </w:r>
      <w:r w:rsidR="000C1121" w:rsidRPr="00130C7A">
        <w:rPr>
          <w:lang w:val="fr-FR"/>
        </w:rPr>
        <w:t xml:space="preserve"> a</w:t>
      </w:r>
      <w:r w:rsidR="000C1121" w:rsidRPr="00130C7A">
        <w:rPr>
          <w:b/>
          <w:lang w:val="fr-FR"/>
        </w:rPr>
        <w:t xml:space="preserve"> </w:t>
      </w:r>
      <w:r w:rsidR="00570EE7" w:rsidRPr="00130C7A">
        <w:rPr>
          <w:lang w:val="fr-FR"/>
        </w:rPr>
        <w:t>déjà affirmé qu</w:t>
      </w:r>
      <w:r w:rsidR="00130C7A" w:rsidRPr="00130C7A">
        <w:rPr>
          <w:lang w:val="fr-FR"/>
        </w:rPr>
        <w:t>’</w:t>
      </w:r>
      <w:r w:rsidR="00570EE7" w:rsidRPr="00130C7A">
        <w:rPr>
          <w:lang w:val="fr-FR"/>
        </w:rPr>
        <w:t>un lien de parenté au quatrième degré ne justifie pas en soi la reconnaissance de la qualité de victime au sens de l</w:t>
      </w:r>
      <w:r w:rsidR="00130C7A" w:rsidRPr="00130C7A">
        <w:rPr>
          <w:lang w:val="fr-FR"/>
        </w:rPr>
        <w:t>’</w:t>
      </w:r>
      <w:r w:rsidR="00570EE7" w:rsidRPr="00130C7A">
        <w:rPr>
          <w:lang w:val="fr-FR"/>
        </w:rPr>
        <w:t>article 34 de la Convention (</w:t>
      </w:r>
      <w:proofErr w:type="spellStart"/>
      <w:r w:rsidR="00570EE7" w:rsidRPr="00130C7A">
        <w:rPr>
          <w:i/>
          <w:lang w:val="fr-FR"/>
        </w:rPr>
        <w:t>Belkıza</w:t>
      </w:r>
      <w:proofErr w:type="spellEnd"/>
      <w:r w:rsidR="00570EE7" w:rsidRPr="00130C7A">
        <w:rPr>
          <w:i/>
          <w:lang w:val="fr-FR"/>
        </w:rPr>
        <w:t xml:space="preserve"> Kaya et autres c. Turquie</w:t>
      </w:r>
      <w:r w:rsidR="00570EE7" w:rsidRPr="00130C7A">
        <w:rPr>
          <w:lang w:val="fr-FR"/>
        </w:rPr>
        <w:t>, n</w:t>
      </w:r>
      <w:r w:rsidR="00570EE7" w:rsidRPr="00130C7A">
        <w:rPr>
          <w:vertAlign w:val="superscript"/>
          <w:lang w:val="fr-FR"/>
        </w:rPr>
        <w:t>os</w:t>
      </w:r>
      <w:r w:rsidR="00570EE7" w:rsidRPr="00130C7A">
        <w:rPr>
          <w:lang w:val="fr-FR"/>
        </w:rPr>
        <w:t> 33420/96 et 36206/97, § 46, 22 novembre 2005).</w:t>
      </w:r>
    </w:p>
    <w:p w:rsidR="00775C5B" w:rsidRPr="00130C7A" w:rsidRDefault="002C2B1F"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39</w:t>
      </w:r>
      <w:r w:rsidRPr="00130C7A">
        <w:rPr>
          <w:lang w:val="fr-FR"/>
        </w:rPr>
        <w:fldChar w:fldCharType="end"/>
      </w:r>
      <w:r w:rsidRPr="00130C7A">
        <w:rPr>
          <w:lang w:val="fr-FR"/>
        </w:rPr>
        <w:t>.  </w:t>
      </w:r>
      <w:r w:rsidR="006B2D67" w:rsidRPr="00130C7A">
        <w:rPr>
          <w:lang w:val="fr-FR"/>
        </w:rPr>
        <w:t>En l</w:t>
      </w:r>
      <w:r w:rsidR="00130C7A" w:rsidRPr="00130C7A">
        <w:rPr>
          <w:lang w:val="fr-FR"/>
        </w:rPr>
        <w:t>’</w:t>
      </w:r>
      <w:r w:rsidR="006B2D67" w:rsidRPr="00130C7A">
        <w:rPr>
          <w:lang w:val="fr-FR"/>
        </w:rPr>
        <w:t>espèce, l</w:t>
      </w:r>
      <w:r w:rsidR="003B056C" w:rsidRPr="00130C7A">
        <w:rPr>
          <w:lang w:val="fr-FR"/>
        </w:rPr>
        <w:t>a</w:t>
      </w:r>
      <w:r w:rsidR="006070A8" w:rsidRPr="00130C7A">
        <w:rPr>
          <w:lang w:val="fr-FR"/>
        </w:rPr>
        <w:t xml:space="preserve"> Cour </w:t>
      </w:r>
      <w:r w:rsidR="00CC4979" w:rsidRPr="00130C7A">
        <w:rPr>
          <w:lang w:val="fr-FR"/>
        </w:rPr>
        <w:t xml:space="preserve">observe que le seul élément mis en avant par la requérante </w:t>
      </w:r>
      <w:r w:rsidR="00131058" w:rsidRPr="00130C7A">
        <w:rPr>
          <w:lang w:val="fr-FR"/>
        </w:rPr>
        <w:t>à l</w:t>
      </w:r>
      <w:r w:rsidR="00130C7A" w:rsidRPr="00130C7A">
        <w:rPr>
          <w:lang w:val="fr-FR"/>
        </w:rPr>
        <w:t>’</w:t>
      </w:r>
      <w:r w:rsidR="00131058" w:rsidRPr="00130C7A">
        <w:rPr>
          <w:lang w:val="fr-FR"/>
        </w:rPr>
        <w:t>appui de</w:t>
      </w:r>
      <w:r w:rsidR="00CC4979" w:rsidRPr="00130C7A">
        <w:rPr>
          <w:lang w:val="fr-FR"/>
        </w:rPr>
        <w:t xml:space="preserve"> sa proximité avec </w:t>
      </w:r>
      <w:r w:rsidR="00131058" w:rsidRPr="00130C7A">
        <w:rPr>
          <w:lang w:val="fr-FR"/>
        </w:rPr>
        <w:t>A.</w:t>
      </w:r>
      <w:r w:rsidR="00CC4979" w:rsidRPr="00130C7A">
        <w:rPr>
          <w:lang w:val="fr-FR"/>
        </w:rPr>
        <w:t xml:space="preserve"> – outre son lien de parenté - est la reconnaissance, de la part des autorités italiennes, de la </w:t>
      </w:r>
      <w:r w:rsidR="00B156A5" w:rsidRPr="00130C7A">
        <w:rPr>
          <w:lang w:val="fr-FR"/>
        </w:rPr>
        <w:t>qualité de</w:t>
      </w:r>
      <w:r w:rsidR="00131058" w:rsidRPr="00130C7A">
        <w:rPr>
          <w:lang w:val="fr-FR"/>
        </w:rPr>
        <w:t xml:space="preserve"> partie</w:t>
      </w:r>
      <w:r w:rsidR="00E8586A" w:rsidRPr="00130C7A">
        <w:rPr>
          <w:lang w:val="fr-FR"/>
        </w:rPr>
        <w:t xml:space="preserve"> lésée dans la procédure pénale </w:t>
      </w:r>
      <w:r w:rsidR="00491ECB" w:rsidRPr="00130C7A">
        <w:rPr>
          <w:lang w:val="fr-FR"/>
        </w:rPr>
        <w:t>concernant le</w:t>
      </w:r>
      <w:r w:rsidR="00E8586A" w:rsidRPr="00130C7A">
        <w:rPr>
          <w:lang w:val="fr-FR"/>
        </w:rPr>
        <w:t xml:space="preserve"> décès.</w:t>
      </w:r>
      <w:r w:rsidR="001E18AA" w:rsidRPr="00130C7A">
        <w:rPr>
          <w:lang w:val="fr-FR"/>
        </w:rPr>
        <w:t xml:space="preserve"> </w:t>
      </w:r>
      <w:r w:rsidR="00E8586A" w:rsidRPr="00130C7A">
        <w:rPr>
          <w:lang w:val="fr-FR"/>
        </w:rPr>
        <w:t xml:space="preserve">Cependant, </w:t>
      </w:r>
      <w:r w:rsidR="00CF4AAC" w:rsidRPr="00130C7A">
        <w:rPr>
          <w:lang w:val="fr-FR"/>
        </w:rPr>
        <w:t xml:space="preserve">les conditions régissant les requêtes individuelles introduites au titre de la Convention ne coïncident pas nécessairement avec les critères nationaux relatifs au </w:t>
      </w:r>
      <w:r w:rsidR="00CF4AAC" w:rsidRPr="00130C7A">
        <w:rPr>
          <w:i/>
          <w:lang w:val="fr-FR"/>
        </w:rPr>
        <w:t xml:space="preserve">locus </w:t>
      </w:r>
      <w:proofErr w:type="spellStart"/>
      <w:r w:rsidR="00CF4AAC" w:rsidRPr="00130C7A">
        <w:rPr>
          <w:i/>
          <w:lang w:val="fr-FR"/>
        </w:rPr>
        <w:t>standi</w:t>
      </w:r>
      <w:proofErr w:type="spellEnd"/>
      <w:r w:rsidR="003B056C" w:rsidRPr="00130C7A">
        <w:rPr>
          <w:lang w:val="fr-FR"/>
        </w:rPr>
        <w:t xml:space="preserve">, les </w:t>
      </w:r>
      <w:r w:rsidR="00491ECB" w:rsidRPr="00130C7A">
        <w:rPr>
          <w:lang w:val="fr-FR"/>
        </w:rPr>
        <w:t>règles</w:t>
      </w:r>
      <w:r w:rsidR="003B056C" w:rsidRPr="00130C7A">
        <w:rPr>
          <w:lang w:val="fr-FR"/>
        </w:rPr>
        <w:t xml:space="preserve"> internes en la matière </w:t>
      </w:r>
      <w:r w:rsidR="00CC0E42" w:rsidRPr="00130C7A">
        <w:rPr>
          <w:lang w:val="fr-FR"/>
        </w:rPr>
        <w:t>pouvant</w:t>
      </w:r>
      <w:r w:rsidR="00491ECB" w:rsidRPr="00130C7A">
        <w:rPr>
          <w:lang w:val="fr-FR"/>
        </w:rPr>
        <w:t xml:space="preserve"> servir des fins différentes de celles de l</w:t>
      </w:r>
      <w:r w:rsidR="00130C7A" w:rsidRPr="00130C7A">
        <w:rPr>
          <w:lang w:val="fr-FR"/>
        </w:rPr>
        <w:t>’</w:t>
      </w:r>
      <w:r w:rsidR="00491ECB" w:rsidRPr="00130C7A">
        <w:rPr>
          <w:lang w:val="fr-FR"/>
        </w:rPr>
        <w:t>article 34 de la Convention. S</w:t>
      </w:r>
      <w:r w:rsidR="00130C7A" w:rsidRPr="00130C7A">
        <w:rPr>
          <w:lang w:val="fr-FR"/>
        </w:rPr>
        <w:t>’</w:t>
      </w:r>
      <w:r w:rsidR="00491ECB" w:rsidRPr="00130C7A">
        <w:rPr>
          <w:lang w:val="fr-FR"/>
        </w:rPr>
        <w:t>il y a parfois analogie entre les buts respectifs, il n</w:t>
      </w:r>
      <w:r w:rsidR="00130C7A" w:rsidRPr="00130C7A">
        <w:rPr>
          <w:lang w:val="fr-FR"/>
        </w:rPr>
        <w:t>’</w:t>
      </w:r>
      <w:r w:rsidR="00491ECB" w:rsidRPr="00130C7A">
        <w:rPr>
          <w:lang w:val="fr-FR"/>
        </w:rPr>
        <w:t>en va pas forcément toujours ainsi</w:t>
      </w:r>
      <w:r w:rsidR="00C92C9C" w:rsidRPr="00130C7A">
        <w:rPr>
          <w:lang w:val="fr-FR"/>
        </w:rPr>
        <w:t>. De fait, le but sous-jacent au mécanisme de la Convention est de fournir une garantie effective et pratique aux personnes touchées par des vi</w:t>
      </w:r>
      <w:r w:rsidR="00833FBC" w:rsidRPr="00130C7A">
        <w:rPr>
          <w:lang w:val="fr-FR"/>
        </w:rPr>
        <w:t>olations de droits fondamentaux</w:t>
      </w:r>
      <w:r w:rsidR="00491ECB" w:rsidRPr="00130C7A">
        <w:rPr>
          <w:lang w:val="fr-FR"/>
        </w:rPr>
        <w:t xml:space="preserve"> </w:t>
      </w:r>
      <w:r w:rsidR="00CF4AAC" w:rsidRPr="00130C7A">
        <w:rPr>
          <w:lang w:val="fr-FR"/>
        </w:rPr>
        <w:t>(</w:t>
      </w:r>
      <w:proofErr w:type="spellStart"/>
      <w:r w:rsidR="0011741A" w:rsidRPr="00130C7A">
        <w:rPr>
          <w:i/>
          <w:lang w:val="fr-FR"/>
        </w:rPr>
        <w:t>Velikova</w:t>
      </w:r>
      <w:proofErr w:type="spellEnd"/>
      <w:r w:rsidR="0011741A" w:rsidRPr="00130C7A">
        <w:rPr>
          <w:lang w:val="fr-FR"/>
        </w:rPr>
        <w:t xml:space="preserve">, </w:t>
      </w:r>
      <w:r w:rsidR="00491ECB" w:rsidRPr="00130C7A">
        <w:rPr>
          <w:lang w:val="fr-FR"/>
        </w:rPr>
        <w:t>décision précitée</w:t>
      </w:r>
      <w:r w:rsidR="006B2D67" w:rsidRPr="00130C7A">
        <w:rPr>
          <w:lang w:val="fr-FR"/>
        </w:rPr>
        <w:t>,</w:t>
      </w:r>
      <w:r w:rsidR="00C92C9C" w:rsidRPr="00130C7A">
        <w:rPr>
          <w:lang w:val="fr-FR"/>
        </w:rPr>
        <w:t xml:space="preserve"> et </w:t>
      </w:r>
      <w:proofErr w:type="spellStart"/>
      <w:r w:rsidR="00C92C9C" w:rsidRPr="00130C7A">
        <w:rPr>
          <w:i/>
          <w:lang w:val="fr-FR"/>
        </w:rPr>
        <w:t>Malhous</w:t>
      </w:r>
      <w:proofErr w:type="spellEnd"/>
      <w:r w:rsidR="00C92C9C" w:rsidRPr="00130C7A">
        <w:rPr>
          <w:i/>
          <w:lang w:val="fr-FR"/>
        </w:rPr>
        <w:t xml:space="preserve"> c.</w:t>
      </w:r>
      <w:r w:rsidR="00AD619D" w:rsidRPr="00130C7A">
        <w:rPr>
          <w:i/>
          <w:lang w:val="fr-FR"/>
        </w:rPr>
        <w:t> </w:t>
      </w:r>
      <w:r w:rsidR="00C92C9C" w:rsidRPr="00130C7A">
        <w:rPr>
          <w:i/>
          <w:lang w:val="fr-FR"/>
        </w:rPr>
        <w:t xml:space="preserve">République tchèque </w:t>
      </w:r>
      <w:r w:rsidR="00C92C9C" w:rsidRPr="00130C7A">
        <w:rPr>
          <w:lang w:val="fr-FR"/>
        </w:rPr>
        <w:t>(déc.), n</w:t>
      </w:r>
      <w:r w:rsidR="001E0028" w:rsidRPr="00130C7A">
        <w:rPr>
          <w:vertAlign w:val="superscript"/>
          <w:lang w:val="fr-FR"/>
        </w:rPr>
        <w:t>o</w:t>
      </w:r>
      <w:r w:rsidR="00C92C9C" w:rsidRPr="00130C7A">
        <w:rPr>
          <w:lang w:val="fr-FR"/>
        </w:rPr>
        <w:t xml:space="preserve"> 33071/96, CEDH 2000-XII</w:t>
      </w:r>
      <w:r w:rsidR="00491ECB" w:rsidRPr="00130C7A">
        <w:rPr>
          <w:lang w:val="fr-FR"/>
        </w:rPr>
        <w:t>).</w:t>
      </w:r>
    </w:p>
    <w:p w:rsidR="005B4E39" w:rsidRPr="00130C7A" w:rsidRDefault="00491ECB"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40</w:t>
      </w:r>
      <w:r w:rsidRPr="00130C7A">
        <w:rPr>
          <w:lang w:val="fr-FR"/>
        </w:rPr>
        <w:fldChar w:fldCharType="end"/>
      </w:r>
      <w:r w:rsidRPr="00130C7A">
        <w:rPr>
          <w:lang w:val="fr-FR"/>
        </w:rPr>
        <w:t>.  </w:t>
      </w:r>
      <w:r w:rsidR="00CC4979" w:rsidRPr="00130C7A">
        <w:rPr>
          <w:lang w:val="fr-FR"/>
        </w:rPr>
        <w:t>C</w:t>
      </w:r>
      <w:r w:rsidR="00247CC4" w:rsidRPr="00130C7A">
        <w:rPr>
          <w:lang w:val="fr-FR"/>
        </w:rPr>
        <w:t>ompte tenu de l</w:t>
      </w:r>
      <w:r w:rsidR="00130C7A" w:rsidRPr="00130C7A">
        <w:rPr>
          <w:lang w:val="fr-FR"/>
        </w:rPr>
        <w:t>’</w:t>
      </w:r>
      <w:r w:rsidR="00247CC4" w:rsidRPr="00130C7A">
        <w:rPr>
          <w:lang w:val="fr-FR"/>
        </w:rPr>
        <w:t>absence d</w:t>
      </w:r>
      <w:r w:rsidR="00130C7A" w:rsidRPr="00130C7A">
        <w:rPr>
          <w:lang w:val="fr-FR"/>
        </w:rPr>
        <w:t>’</w:t>
      </w:r>
      <w:r w:rsidR="00247CC4" w:rsidRPr="00130C7A">
        <w:rPr>
          <w:lang w:val="fr-FR"/>
        </w:rPr>
        <w:t xml:space="preserve">indications montrant </w:t>
      </w:r>
      <w:r w:rsidR="001A1561" w:rsidRPr="00130C7A">
        <w:rPr>
          <w:lang w:val="fr-FR"/>
        </w:rPr>
        <w:t>dans le chef de la</w:t>
      </w:r>
      <w:r w:rsidR="00247CC4" w:rsidRPr="00130C7A">
        <w:rPr>
          <w:lang w:val="fr-FR"/>
        </w:rPr>
        <w:t xml:space="preserve"> requérante un intérêt légitime </w:t>
      </w:r>
      <w:r w:rsidR="006852DF" w:rsidRPr="00130C7A">
        <w:rPr>
          <w:lang w:val="fr-FR"/>
        </w:rPr>
        <w:t>en tant que proche</w:t>
      </w:r>
      <w:r w:rsidR="00CC4979" w:rsidRPr="00130C7A">
        <w:rPr>
          <w:lang w:val="fr-FR"/>
        </w:rPr>
        <w:t>,</w:t>
      </w:r>
      <w:r w:rsidR="00247CC4" w:rsidRPr="00130C7A">
        <w:rPr>
          <w:b/>
          <w:lang w:val="fr-FR"/>
        </w:rPr>
        <w:t xml:space="preserve"> </w:t>
      </w:r>
      <w:r w:rsidRPr="00130C7A">
        <w:rPr>
          <w:lang w:val="fr-FR"/>
        </w:rPr>
        <w:t>et ayant à l</w:t>
      </w:r>
      <w:r w:rsidR="00130C7A" w:rsidRPr="00130C7A">
        <w:rPr>
          <w:lang w:val="fr-FR"/>
        </w:rPr>
        <w:t>’</w:t>
      </w:r>
      <w:r w:rsidRPr="00130C7A">
        <w:rPr>
          <w:lang w:val="fr-FR"/>
        </w:rPr>
        <w:t>esprit qu</w:t>
      </w:r>
      <w:r w:rsidR="00FE36A8" w:rsidRPr="00130C7A">
        <w:rPr>
          <w:lang w:val="fr-FR"/>
        </w:rPr>
        <w:t xml:space="preserve">e le requérant </w:t>
      </w:r>
      <w:r w:rsidR="00ED2ADE" w:rsidRPr="00130C7A">
        <w:rPr>
          <w:lang w:val="fr-FR"/>
        </w:rPr>
        <w:t xml:space="preserve">demeure partie à la procédure devant </w:t>
      </w:r>
      <w:r w:rsidR="00C92C9C" w:rsidRPr="00130C7A">
        <w:rPr>
          <w:lang w:val="fr-FR"/>
        </w:rPr>
        <w:t>elle</w:t>
      </w:r>
      <w:r w:rsidR="00ED2ADE" w:rsidRPr="00130C7A">
        <w:rPr>
          <w:lang w:val="fr-FR"/>
        </w:rPr>
        <w:t>,</w:t>
      </w:r>
      <w:r w:rsidR="00C92C9C" w:rsidRPr="00130C7A">
        <w:rPr>
          <w:lang w:val="fr-FR"/>
        </w:rPr>
        <w:t xml:space="preserve"> la Cour estime qu</w:t>
      </w:r>
      <w:r w:rsidR="00130C7A" w:rsidRPr="00130C7A">
        <w:rPr>
          <w:lang w:val="fr-FR"/>
        </w:rPr>
        <w:t>’</w:t>
      </w:r>
      <w:r w:rsidR="00ED2ADE" w:rsidRPr="00130C7A">
        <w:rPr>
          <w:lang w:val="fr-FR"/>
        </w:rPr>
        <w:t>il y a lieu d</w:t>
      </w:r>
      <w:r w:rsidR="00130C7A" w:rsidRPr="00130C7A">
        <w:rPr>
          <w:lang w:val="fr-FR"/>
        </w:rPr>
        <w:t>’</w:t>
      </w:r>
      <w:r w:rsidR="00ED2ADE" w:rsidRPr="00130C7A">
        <w:rPr>
          <w:lang w:val="fr-FR"/>
        </w:rPr>
        <w:t>accueillir l</w:t>
      </w:r>
      <w:r w:rsidR="00130C7A" w:rsidRPr="00130C7A">
        <w:rPr>
          <w:lang w:val="fr-FR"/>
        </w:rPr>
        <w:t>’</w:t>
      </w:r>
      <w:r w:rsidR="00ED2ADE" w:rsidRPr="00130C7A">
        <w:rPr>
          <w:lang w:val="fr-FR"/>
        </w:rPr>
        <w:t>exception du Gouvernement et de conclure que la requérante, M</w:t>
      </w:r>
      <w:r w:rsidR="00ED2ADE" w:rsidRPr="00130C7A">
        <w:rPr>
          <w:vertAlign w:val="superscript"/>
          <w:lang w:val="fr-FR"/>
        </w:rPr>
        <w:t>me</w:t>
      </w:r>
      <w:r w:rsidR="001E18AA" w:rsidRPr="00130C7A">
        <w:rPr>
          <w:vertAlign w:val="superscript"/>
          <w:lang w:val="fr-FR"/>
        </w:rPr>
        <w:t xml:space="preserve"> </w:t>
      </w:r>
      <w:proofErr w:type="spellStart"/>
      <w:r w:rsidR="00ED2ADE" w:rsidRPr="00130C7A">
        <w:rPr>
          <w:lang w:val="fr-FR"/>
        </w:rPr>
        <w:t>Parziale</w:t>
      </w:r>
      <w:proofErr w:type="spellEnd"/>
      <w:r w:rsidR="00CC0E42" w:rsidRPr="00130C7A">
        <w:rPr>
          <w:lang w:val="fr-FR"/>
        </w:rPr>
        <w:t xml:space="preserve"> </w:t>
      </w:r>
      <w:r w:rsidR="00ED2ADE" w:rsidRPr="00130C7A">
        <w:rPr>
          <w:lang w:val="fr-FR"/>
        </w:rPr>
        <w:t>ne peut se prétendre victime au sens de l</w:t>
      </w:r>
      <w:r w:rsidR="00130C7A" w:rsidRPr="00130C7A">
        <w:rPr>
          <w:lang w:val="fr-FR"/>
        </w:rPr>
        <w:t>’</w:t>
      </w:r>
      <w:r w:rsidR="00ED2ADE" w:rsidRPr="00130C7A">
        <w:rPr>
          <w:lang w:val="fr-FR"/>
        </w:rPr>
        <w:t>article</w:t>
      </w:r>
      <w:r w:rsidR="00AD619D" w:rsidRPr="00130C7A">
        <w:rPr>
          <w:lang w:val="fr-FR"/>
        </w:rPr>
        <w:t> </w:t>
      </w:r>
      <w:r w:rsidR="00ED2ADE" w:rsidRPr="00130C7A">
        <w:rPr>
          <w:lang w:val="fr-FR"/>
        </w:rPr>
        <w:t>34 de la Convention.</w:t>
      </w:r>
    </w:p>
    <w:p w:rsidR="00506E15" w:rsidRPr="00130C7A" w:rsidRDefault="00C9282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41</w:t>
      </w:r>
      <w:r w:rsidRPr="00130C7A">
        <w:rPr>
          <w:lang w:val="fr-FR"/>
        </w:rPr>
        <w:fldChar w:fldCharType="end"/>
      </w:r>
      <w:r w:rsidRPr="00130C7A">
        <w:rPr>
          <w:lang w:val="fr-FR"/>
        </w:rPr>
        <w:t>.  </w:t>
      </w:r>
      <w:r w:rsidR="00506E15" w:rsidRPr="00130C7A">
        <w:rPr>
          <w:lang w:val="fr-FR"/>
        </w:rPr>
        <w:t xml:space="preserve">Dès lors, la Cour se réfèrera </w:t>
      </w:r>
      <w:r w:rsidRPr="00130C7A">
        <w:rPr>
          <w:lang w:val="fr-FR"/>
        </w:rPr>
        <w:t xml:space="preserve">exclusivement </w:t>
      </w:r>
      <w:r w:rsidR="00506E15" w:rsidRPr="00130C7A">
        <w:rPr>
          <w:lang w:val="fr-FR"/>
        </w:rPr>
        <w:t xml:space="preserve">au requérant dans la suite </w:t>
      </w:r>
      <w:r w:rsidRPr="00130C7A">
        <w:rPr>
          <w:lang w:val="fr-FR"/>
        </w:rPr>
        <w:t xml:space="preserve">du présent </w:t>
      </w:r>
      <w:r w:rsidR="00506E15" w:rsidRPr="00130C7A">
        <w:rPr>
          <w:lang w:val="fr-FR"/>
        </w:rPr>
        <w:t>arrêt.</w:t>
      </w:r>
    </w:p>
    <w:p w:rsidR="001E18AA" w:rsidRPr="00130C7A" w:rsidRDefault="001E6D46" w:rsidP="00130C7A">
      <w:pPr>
        <w:pStyle w:val="ECHRHeading3"/>
        <w:rPr>
          <w:lang w:val="fr-FR"/>
        </w:rPr>
      </w:pPr>
      <w:r w:rsidRPr="00130C7A">
        <w:rPr>
          <w:lang w:val="fr-FR"/>
        </w:rPr>
        <w:t>2.  Sur l</w:t>
      </w:r>
      <w:r w:rsidR="00130C7A" w:rsidRPr="00130C7A">
        <w:rPr>
          <w:lang w:val="fr-FR"/>
        </w:rPr>
        <w:t>’</w:t>
      </w:r>
      <w:r w:rsidRPr="00130C7A">
        <w:rPr>
          <w:lang w:val="fr-FR"/>
        </w:rPr>
        <w:t>épuisement des voies de recours internes</w:t>
      </w:r>
    </w:p>
    <w:p w:rsidR="001E0028" w:rsidRPr="00130C7A" w:rsidRDefault="001E6D4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42</w:t>
      </w:r>
      <w:r w:rsidRPr="00130C7A">
        <w:rPr>
          <w:lang w:val="fr-FR"/>
        </w:rPr>
        <w:fldChar w:fldCharType="end"/>
      </w:r>
      <w:r w:rsidRPr="00130C7A">
        <w:rPr>
          <w:lang w:val="fr-FR"/>
        </w:rPr>
        <w:t>.  </w:t>
      </w:r>
      <w:r w:rsidR="00CF56A8" w:rsidRPr="00130C7A">
        <w:rPr>
          <w:lang w:val="fr-FR"/>
        </w:rPr>
        <w:t xml:space="preserve">Le Gouvernement </w:t>
      </w:r>
      <w:r w:rsidR="00545BC4" w:rsidRPr="00130C7A">
        <w:rPr>
          <w:lang w:val="fr-FR"/>
        </w:rPr>
        <w:t>allègue</w:t>
      </w:r>
      <w:r w:rsidR="003D0E50" w:rsidRPr="00130C7A">
        <w:rPr>
          <w:lang w:val="fr-FR"/>
        </w:rPr>
        <w:t xml:space="preserve"> que le requérant</w:t>
      </w:r>
      <w:r w:rsidR="003B6531" w:rsidRPr="00130C7A">
        <w:rPr>
          <w:lang w:val="fr-FR"/>
        </w:rPr>
        <w:t xml:space="preserve"> n</w:t>
      </w:r>
      <w:r w:rsidR="00130C7A" w:rsidRPr="00130C7A">
        <w:rPr>
          <w:lang w:val="fr-FR"/>
        </w:rPr>
        <w:t>’</w:t>
      </w:r>
      <w:r w:rsidR="00506E15" w:rsidRPr="00130C7A">
        <w:rPr>
          <w:lang w:val="fr-FR"/>
        </w:rPr>
        <w:t>a</w:t>
      </w:r>
      <w:r w:rsidR="003D0E50" w:rsidRPr="00130C7A">
        <w:rPr>
          <w:lang w:val="fr-FR"/>
        </w:rPr>
        <w:t xml:space="preserve"> pas épuisé les voies de recours internes</w:t>
      </w:r>
      <w:r w:rsidR="000C7FEE" w:rsidRPr="00130C7A">
        <w:rPr>
          <w:lang w:val="fr-FR"/>
        </w:rPr>
        <w:t xml:space="preserve">, </w:t>
      </w:r>
      <w:r w:rsidR="00545BC4" w:rsidRPr="00130C7A">
        <w:rPr>
          <w:lang w:val="fr-FR"/>
        </w:rPr>
        <w:t>au motif qu</w:t>
      </w:r>
      <w:r w:rsidR="00130C7A" w:rsidRPr="00130C7A">
        <w:rPr>
          <w:lang w:val="fr-FR"/>
        </w:rPr>
        <w:t>’</w:t>
      </w:r>
      <w:r w:rsidR="008E4656" w:rsidRPr="00130C7A">
        <w:rPr>
          <w:lang w:val="fr-FR"/>
        </w:rPr>
        <w:t xml:space="preserve">il </w:t>
      </w:r>
      <w:r w:rsidR="003D0E50" w:rsidRPr="00130C7A">
        <w:rPr>
          <w:lang w:val="fr-FR"/>
        </w:rPr>
        <w:t>n</w:t>
      </w:r>
      <w:r w:rsidR="00130C7A" w:rsidRPr="00130C7A">
        <w:rPr>
          <w:lang w:val="fr-FR"/>
        </w:rPr>
        <w:t>’</w:t>
      </w:r>
      <w:r w:rsidR="00E76F99" w:rsidRPr="00130C7A">
        <w:rPr>
          <w:lang w:val="fr-FR"/>
        </w:rPr>
        <w:t>a</w:t>
      </w:r>
      <w:r w:rsidR="003D0E50" w:rsidRPr="00130C7A">
        <w:rPr>
          <w:lang w:val="fr-FR"/>
        </w:rPr>
        <w:t xml:space="preserve"> pas saisi le juge civil d</w:t>
      </w:r>
      <w:r w:rsidR="00130C7A" w:rsidRPr="00130C7A">
        <w:rPr>
          <w:lang w:val="fr-FR"/>
        </w:rPr>
        <w:t>’</w:t>
      </w:r>
      <w:r w:rsidR="00CA1E2D" w:rsidRPr="00130C7A">
        <w:rPr>
          <w:lang w:val="fr-FR"/>
        </w:rPr>
        <w:t>un recours en dommages-</w:t>
      </w:r>
      <w:r w:rsidR="003D0E50" w:rsidRPr="00130C7A">
        <w:rPr>
          <w:lang w:val="fr-FR"/>
        </w:rPr>
        <w:t>intérêts</w:t>
      </w:r>
      <w:r w:rsidR="0002620A" w:rsidRPr="00130C7A">
        <w:rPr>
          <w:lang w:val="fr-FR"/>
        </w:rPr>
        <w:t xml:space="preserve"> au sens de l</w:t>
      </w:r>
      <w:r w:rsidR="00130C7A" w:rsidRPr="00130C7A">
        <w:rPr>
          <w:lang w:val="fr-FR"/>
        </w:rPr>
        <w:t>’</w:t>
      </w:r>
      <w:r w:rsidR="0002620A" w:rsidRPr="00130C7A">
        <w:rPr>
          <w:lang w:val="fr-FR"/>
        </w:rPr>
        <w:t>article 2043 du code civil</w:t>
      </w:r>
      <w:r w:rsidR="00C315B7" w:rsidRPr="00130C7A">
        <w:rPr>
          <w:lang w:val="fr-FR"/>
        </w:rPr>
        <w:t>.</w:t>
      </w:r>
    </w:p>
    <w:p w:rsidR="001E0028" w:rsidRPr="00130C7A" w:rsidRDefault="002710E7" w:rsidP="00130C7A">
      <w:pPr>
        <w:pStyle w:val="ECHRPara"/>
        <w:rPr>
          <w:lang w:val="fr-FR"/>
        </w:rPr>
      </w:pPr>
      <w:r w:rsidRPr="00130C7A">
        <w:rPr>
          <w:lang w:val="fr-FR"/>
        </w:rPr>
        <w:lastRenderedPageBreak/>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43</w:t>
      </w:r>
      <w:r w:rsidRPr="00130C7A">
        <w:rPr>
          <w:lang w:val="fr-FR"/>
        </w:rPr>
        <w:fldChar w:fldCharType="end"/>
      </w:r>
      <w:r w:rsidRPr="00130C7A">
        <w:rPr>
          <w:lang w:val="fr-FR"/>
        </w:rPr>
        <w:t>.  </w:t>
      </w:r>
      <w:r w:rsidR="00281884" w:rsidRPr="00130C7A">
        <w:rPr>
          <w:lang w:val="fr-FR"/>
        </w:rPr>
        <w:t xml:space="preserve">Le Gouvernement considère que, </w:t>
      </w:r>
      <w:r w:rsidR="00545BC4" w:rsidRPr="00130C7A">
        <w:rPr>
          <w:lang w:val="fr-FR"/>
        </w:rPr>
        <w:t>dès lors qu</w:t>
      </w:r>
      <w:r w:rsidR="00130C7A" w:rsidRPr="00130C7A">
        <w:rPr>
          <w:lang w:val="fr-FR"/>
        </w:rPr>
        <w:t>’</w:t>
      </w:r>
      <w:r w:rsidR="008C212E" w:rsidRPr="00130C7A">
        <w:rPr>
          <w:lang w:val="fr-FR"/>
        </w:rPr>
        <w:t>il n</w:t>
      </w:r>
      <w:r w:rsidR="00130C7A" w:rsidRPr="00130C7A">
        <w:rPr>
          <w:lang w:val="fr-FR"/>
        </w:rPr>
        <w:t>’</w:t>
      </w:r>
      <w:r w:rsidR="008C212E" w:rsidRPr="00130C7A">
        <w:rPr>
          <w:lang w:val="fr-FR"/>
        </w:rPr>
        <w:t>y a pas eu</w:t>
      </w:r>
      <w:r w:rsidR="00281884" w:rsidRPr="00130C7A">
        <w:rPr>
          <w:lang w:val="fr-FR"/>
        </w:rPr>
        <w:t xml:space="preserve"> constitution de partie civile</w:t>
      </w:r>
      <w:r w:rsidR="008C212E" w:rsidRPr="00130C7A">
        <w:rPr>
          <w:lang w:val="fr-FR"/>
        </w:rPr>
        <w:t xml:space="preserve"> dans le cadre de la procédure pénale</w:t>
      </w:r>
      <w:r w:rsidR="00281884" w:rsidRPr="00130C7A">
        <w:rPr>
          <w:lang w:val="fr-FR"/>
        </w:rPr>
        <w:t xml:space="preserve">, </w:t>
      </w:r>
      <w:r w:rsidR="00086737" w:rsidRPr="00130C7A">
        <w:rPr>
          <w:lang w:val="fr-FR"/>
        </w:rPr>
        <w:t>l</w:t>
      </w:r>
      <w:r w:rsidR="00130C7A" w:rsidRPr="00130C7A">
        <w:rPr>
          <w:lang w:val="fr-FR"/>
        </w:rPr>
        <w:t>’</w:t>
      </w:r>
      <w:r w:rsidR="00C92826" w:rsidRPr="00130C7A">
        <w:rPr>
          <w:lang w:val="fr-FR"/>
        </w:rPr>
        <w:t>intéressé</w:t>
      </w:r>
      <w:r w:rsidR="00712AF4" w:rsidRPr="00130C7A">
        <w:rPr>
          <w:lang w:val="fr-FR"/>
        </w:rPr>
        <w:t xml:space="preserve"> </w:t>
      </w:r>
      <w:r w:rsidR="00281884" w:rsidRPr="00130C7A">
        <w:rPr>
          <w:lang w:val="fr-FR"/>
        </w:rPr>
        <w:t xml:space="preserve">aurait </w:t>
      </w:r>
      <w:r w:rsidR="00CA1E2D" w:rsidRPr="00130C7A">
        <w:rPr>
          <w:lang w:val="fr-FR"/>
        </w:rPr>
        <w:t>pu</w:t>
      </w:r>
      <w:r w:rsidR="00281884" w:rsidRPr="00130C7A">
        <w:rPr>
          <w:lang w:val="fr-FR"/>
        </w:rPr>
        <w:t xml:space="preserve"> </w:t>
      </w:r>
      <w:r w:rsidR="00545BC4" w:rsidRPr="00130C7A">
        <w:rPr>
          <w:lang w:val="fr-FR"/>
        </w:rPr>
        <w:t xml:space="preserve">intenter </w:t>
      </w:r>
      <w:r w:rsidR="00281884" w:rsidRPr="00130C7A">
        <w:rPr>
          <w:lang w:val="fr-FR"/>
        </w:rPr>
        <w:t>un recours devant le tribunal civil. Il</w:t>
      </w:r>
      <w:r w:rsidR="00833FBC" w:rsidRPr="00130C7A">
        <w:rPr>
          <w:lang w:val="fr-FR"/>
        </w:rPr>
        <w:t xml:space="preserve"> </w:t>
      </w:r>
      <w:r w:rsidR="00545BC4" w:rsidRPr="00130C7A">
        <w:rPr>
          <w:lang w:val="fr-FR"/>
        </w:rPr>
        <w:t>indique</w:t>
      </w:r>
      <w:r w:rsidR="00833FBC" w:rsidRPr="00130C7A">
        <w:rPr>
          <w:lang w:val="fr-FR"/>
        </w:rPr>
        <w:t xml:space="preserve"> que</w:t>
      </w:r>
      <w:r w:rsidR="00545BC4" w:rsidRPr="00130C7A">
        <w:rPr>
          <w:lang w:val="fr-FR"/>
        </w:rPr>
        <w:t>,</w:t>
      </w:r>
      <w:r w:rsidR="00D246E7" w:rsidRPr="00130C7A">
        <w:rPr>
          <w:lang w:val="fr-FR"/>
        </w:rPr>
        <w:t xml:space="preserve"> </w:t>
      </w:r>
      <w:r w:rsidR="000409F5" w:rsidRPr="00130C7A">
        <w:rPr>
          <w:lang w:val="fr-FR"/>
        </w:rPr>
        <w:t>selon</w:t>
      </w:r>
      <w:r w:rsidR="002378F3" w:rsidRPr="00130C7A">
        <w:rPr>
          <w:lang w:val="fr-FR"/>
        </w:rPr>
        <w:t xml:space="preserve"> les règles de</w:t>
      </w:r>
      <w:r w:rsidR="000409F5" w:rsidRPr="00130C7A">
        <w:rPr>
          <w:lang w:val="fr-FR"/>
        </w:rPr>
        <w:t xml:space="preserve"> droit interne</w:t>
      </w:r>
      <w:r w:rsidR="004F43D2" w:rsidRPr="00130C7A">
        <w:rPr>
          <w:lang w:val="fr-FR"/>
        </w:rPr>
        <w:t>,</w:t>
      </w:r>
      <w:r w:rsidR="000409F5" w:rsidRPr="00130C7A">
        <w:rPr>
          <w:lang w:val="fr-FR"/>
        </w:rPr>
        <w:t xml:space="preserve"> le délai de prescription de l</w:t>
      </w:r>
      <w:r w:rsidR="00130C7A" w:rsidRPr="00130C7A">
        <w:rPr>
          <w:lang w:val="fr-FR"/>
        </w:rPr>
        <w:t>’</w:t>
      </w:r>
      <w:r w:rsidR="000409F5" w:rsidRPr="00130C7A">
        <w:rPr>
          <w:lang w:val="fr-FR"/>
        </w:rPr>
        <w:t xml:space="preserve">action civile </w:t>
      </w:r>
      <w:r w:rsidR="002378F3" w:rsidRPr="00130C7A">
        <w:rPr>
          <w:lang w:val="fr-FR"/>
        </w:rPr>
        <w:t>était en l</w:t>
      </w:r>
      <w:r w:rsidR="00130C7A" w:rsidRPr="00130C7A">
        <w:rPr>
          <w:lang w:val="fr-FR"/>
        </w:rPr>
        <w:t>’</w:t>
      </w:r>
      <w:r w:rsidR="002378F3" w:rsidRPr="00130C7A">
        <w:rPr>
          <w:lang w:val="fr-FR"/>
        </w:rPr>
        <w:t>espèce de six ans</w:t>
      </w:r>
      <w:r w:rsidR="00860BEC" w:rsidRPr="00130C7A">
        <w:rPr>
          <w:lang w:val="fr-FR"/>
        </w:rPr>
        <w:t xml:space="preserve">, </w:t>
      </w:r>
      <w:r w:rsidR="00545BC4" w:rsidRPr="00130C7A">
        <w:rPr>
          <w:lang w:val="fr-FR"/>
        </w:rPr>
        <w:t>soit</w:t>
      </w:r>
      <w:r w:rsidR="00860BEC" w:rsidRPr="00130C7A">
        <w:rPr>
          <w:lang w:val="fr-FR"/>
        </w:rPr>
        <w:t xml:space="preserve"> le même </w:t>
      </w:r>
      <w:r w:rsidR="00545BC4" w:rsidRPr="00130C7A">
        <w:rPr>
          <w:lang w:val="fr-FR"/>
        </w:rPr>
        <w:t xml:space="preserve">délai que celui </w:t>
      </w:r>
      <w:r w:rsidR="00860BEC" w:rsidRPr="00130C7A">
        <w:rPr>
          <w:lang w:val="fr-FR"/>
        </w:rPr>
        <w:t>établi pour la prescription du délit</w:t>
      </w:r>
      <w:r w:rsidR="00467C1F" w:rsidRPr="00130C7A">
        <w:rPr>
          <w:lang w:val="fr-FR"/>
        </w:rPr>
        <w:t xml:space="preserve"> (paragraphe 33 ci-dessus)</w:t>
      </w:r>
      <w:r w:rsidR="002378F3" w:rsidRPr="00130C7A">
        <w:rPr>
          <w:lang w:val="fr-FR"/>
        </w:rPr>
        <w:t xml:space="preserve">. </w:t>
      </w:r>
      <w:r w:rsidR="00545BC4" w:rsidRPr="00130C7A">
        <w:rPr>
          <w:lang w:val="fr-FR"/>
        </w:rPr>
        <w:t>Par conséquent</w:t>
      </w:r>
      <w:r w:rsidR="002378F3" w:rsidRPr="00130C7A">
        <w:rPr>
          <w:lang w:val="fr-FR"/>
        </w:rPr>
        <w:t>,</w:t>
      </w:r>
      <w:r w:rsidR="000409F5" w:rsidRPr="00130C7A">
        <w:rPr>
          <w:lang w:val="fr-FR"/>
        </w:rPr>
        <w:t xml:space="preserve"> </w:t>
      </w:r>
      <w:r w:rsidR="00D246E7" w:rsidRPr="00130C7A">
        <w:rPr>
          <w:lang w:val="fr-FR"/>
        </w:rPr>
        <w:t>le requérant a</w:t>
      </w:r>
      <w:r w:rsidR="00545BC4" w:rsidRPr="00130C7A">
        <w:rPr>
          <w:lang w:val="fr-FR"/>
        </w:rPr>
        <w:t>urait</w:t>
      </w:r>
      <w:r w:rsidR="004A7817" w:rsidRPr="00130C7A">
        <w:rPr>
          <w:lang w:val="fr-FR"/>
        </w:rPr>
        <w:t xml:space="preserve"> </w:t>
      </w:r>
      <w:r w:rsidR="00545BC4" w:rsidRPr="00130C7A">
        <w:rPr>
          <w:lang w:val="fr-FR"/>
        </w:rPr>
        <w:t xml:space="preserve">eu </w:t>
      </w:r>
      <w:r w:rsidR="004A7817" w:rsidRPr="00130C7A">
        <w:rPr>
          <w:lang w:val="fr-FR"/>
        </w:rPr>
        <w:t>le loisir de</w:t>
      </w:r>
      <w:r w:rsidR="000409F5" w:rsidRPr="00130C7A">
        <w:rPr>
          <w:lang w:val="fr-FR"/>
        </w:rPr>
        <w:t xml:space="preserve"> </w:t>
      </w:r>
      <w:r w:rsidR="00D246E7" w:rsidRPr="00130C7A">
        <w:rPr>
          <w:lang w:val="fr-FR"/>
        </w:rPr>
        <w:t xml:space="preserve">saisir le juge civil </w:t>
      </w:r>
      <w:r w:rsidR="00212E9E" w:rsidRPr="00130C7A">
        <w:rPr>
          <w:lang w:val="fr-FR"/>
        </w:rPr>
        <w:t xml:space="preserve">à tout moment, avant le </w:t>
      </w:r>
      <w:r w:rsidR="00281884" w:rsidRPr="00130C7A">
        <w:rPr>
          <w:lang w:val="fr-FR"/>
        </w:rPr>
        <w:t>29 mai 2011</w:t>
      </w:r>
      <w:r w:rsidR="00212E9E" w:rsidRPr="00130C7A">
        <w:rPr>
          <w:lang w:val="fr-FR"/>
        </w:rPr>
        <w:t>,</w:t>
      </w:r>
      <w:r w:rsidR="00112694" w:rsidRPr="00130C7A">
        <w:rPr>
          <w:lang w:val="fr-FR"/>
        </w:rPr>
        <w:t xml:space="preserve"> </w:t>
      </w:r>
      <w:r w:rsidR="000409F5" w:rsidRPr="00130C7A">
        <w:rPr>
          <w:lang w:val="fr-FR"/>
        </w:rPr>
        <w:t>dans le but de</w:t>
      </w:r>
      <w:r w:rsidR="0052627D" w:rsidRPr="00130C7A">
        <w:rPr>
          <w:lang w:val="fr-FR"/>
        </w:rPr>
        <w:t xml:space="preserve"> </w:t>
      </w:r>
      <w:r w:rsidR="00281884" w:rsidRPr="00130C7A">
        <w:rPr>
          <w:lang w:val="fr-FR"/>
        </w:rPr>
        <w:t xml:space="preserve">faire </w:t>
      </w:r>
      <w:r w:rsidR="00C315B7" w:rsidRPr="00130C7A">
        <w:rPr>
          <w:lang w:val="fr-FR"/>
        </w:rPr>
        <w:t xml:space="preserve">la lumière sur le </w:t>
      </w:r>
      <w:r w:rsidR="00281884" w:rsidRPr="00130C7A">
        <w:rPr>
          <w:lang w:val="fr-FR"/>
        </w:rPr>
        <w:t xml:space="preserve">décès de </w:t>
      </w:r>
      <w:r w:rsidR="00C92826" w:rsidRPr="00130C7A">
        <w:rPr>
          <w:lang w:val="fr-FR"/>
        </w:rPr>
        <w:t>son</w:t>
      </w:r>
      <w:r w:rsidR="00281884" w:rsidRPr="00130C7A">
        <w:rPr>
          <w:lang w:val="fr-FR"/>
        </w:rPr>
        <w:t xml:space="preserve"> </w:t>
      </w:r>
      <w:r w:rsidR="008C212E" w:rsidRPr="00130C7A">
        <w:rPr>
          <w:lang w:val="fr-FR"/>
        </w:rPr>
        <w:t>neveu</w:t>
      </w:r>
      <w:r w:rsidR="00281884" w:rsidRPr="00130C7A">
        <w:rPr>
          <w:lang w:val="fr-FR"/>
        </w:rPr>
        <w:t xml:space="preserve"> </w:t>
      </w:r>
      <w:r w:rsidR="000409F5" w:rsidRPr="00130C7A">
        <w:rPr>
          <w:lang w:val="fr-FR"/>
        </w:rPr>
        <w:t>et</w:t>
      </w:r>
      <w:r w:rsidR="00D246E7" w:rsidRPr="00130C7A">
        <w:rPr>
          <w:lang w:val="fr-FR"/>
        </w:rPr>
        <w:t xml:space="preserve"> </w:t>
      </w:r>
      <w:r w:rsidR="00545BC4" w:rsidRPr="00130C7A">
        <w:rPr>
          <w:lang w:val="fr-FR"/>
        </w:rPr>
        <w:t>d</w:t>
      </w:r>
      <w:r w:rsidR="00130C7A" w:rsidRPr="00130C7A">
        <w:rPr>
          <w:lang w:val="fr-FR"/>
        </w:rPr>
        <w:t>’</w:t>
      </w:r>
      <w:r w:rsidR="0052627D" w:rsidRPr="00130C7A">
        <w:rPr>
          <w:lang w:val="fr-FR"/>
        </w:rPr>
        <w:t xml:space="preserve">obtenir un </w:t>
      </w:r>
      <w:r w:rsidR="00545BC4" w:rsidRPr="00130C7A">
        <w:rPr>
          <w:lang w:val="fr-FR"/>
        </w:rPr>
        <w:t xml:space="preserve">éventuel </w:t>
      </w:r>
      <w:r w:rsidR="00C315B7" w:rsidRPr="00130C7A">
        <w:rPr>
          <w:lang w:val="fr-FR"/>
        </w:rPr>
        <w:t>dédommagement</w:t>
      </w:r>
      <w:r w:rsidR="009E33E8" w:rsidRPr="00130C7A">
        <w:rPr>
          <w:lang w:val="fr-FR"/>
        </w:rPr>
        <w:t>.</w:t>
      </w:r>
    </w:p>
    <w:p w:rsidR="001E0028" w:rsidRPr="00130C7A" w:rsidRDefault="000C7FEE"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44</w:t>
      </w:r>
      <w:r w:rsidRPr="00130C7A">
        <w:rPr>
          <w:lang w:val="fr-FR"/>
        </w:rPr>
        <w:fldChar w:fldCharType="end"/>
      </w:r>
      <w:r w:rsidRPr="00130C7A">
        <w:rPr>
          <w:lang w:val="fr-FR"/>
        </w:rPr>
        <w:t>.  </w:t>
      </w:r>
      <w:r w:rsidR="00545BC4" w:rsidRPr="00130C7A">
        <w:rPr>
          <w:lang w:val="fr-FR"/>
        </w:rPr>
        <w:t xml:space="preserve">Le Gouvernement soutient que, devant le juge civil, </w:t>
      </w:r>
      <w:r w:rsidR="000B7143" w:rsidRPr="00130C7A">
        <w:rPr>
          <w:lang w:val="fr-FR"/>
        </w:rPr>
        <w:t>le requérant aurait pu utiliser les éléments recueillis pendant l</w:t>
      </w:r>
      <w:r w:rsidR="00130C7A" w:rsidRPr="00130C7A">
        <w:rPr>
          <w:lang w:val="fr-FR"/>
        </w:rPr>
        <w:t>’</w:t>
      </w:r>
      <w:r w:rsidR="000B7143" w:rsidRPr="00130C7A">
        <w:rPr>
          <w:lang w:val="fr-FR"/>
        </w:rPr>
        <w:t xml:space="preserve">enquête pénale. </w:t>
      </w:r>
      <w:r w:rsidR="00355068" w:rsidRPr="00130C7A">
        <w:rPr>
          <w:lang w:val="fr-FR"/>
        </w:rPr>
        <w:t>Il estime qu</w:t>
      </w:r>
      <w:r w:rsidR="00130C7A" w:rsidRPr="00130C7A">
        <w:rPr>
          <w:lang w:val="fr-FR"/>
        </w:rPr>
        <w:t>’</w:t>
      </w:r>
      <w:r w:rsidR="005247BA" w:rsidRPr="00130C7A">
        <w:rPr>
          <w:lang w:val="fr-FR"/>
        </w:rPr>
        <w:t xml:space="preserve">une action </w:t>
      </w:r>
      <w:r w:rsidR="00706472" w:rsidRPr="00130C7A">
        <w:rPr>
          <w:lang w:val="fr-FR"/>
        </w:rPr>
        <w:t>en dommage-intérêts</w:t>
      </w:r>
      <w:r w:rsidR="005247BA" w:rsidRPr="00130C7A">
        <w:rPr>
          <w:lang w:val="fr-FR"/>
        </w:rPr>
        <w:t xml:space="preserve"> </w:t>
      </w:r>
      <w:r w:rsidR="003C7C2E" w:rsidRPr="00130C7A">
        <w:rPr>
          <w:lang w:val="fr-FR"/>
        </w:rPr>
        <w:t xml:space="preserve">dirigée contre </w:t>
      </w:r>
      <w:r w:rsidR="004A3EE0" w:rsidRPr="00130C7A">
        <w:rPr>
          <w:lang w:val="fr-FR"/>
        </w:rPr>
        <w:t>l</w:t>
      </w:r>
      <w:r w:rsidR="00130C7A" w:rsidRPr="00130C7A">
        <w:rPr>
          <w:lang w:val="fr-FR"/>
        </w:rPr>
        <w:t>’</w:t>
      </w:r>
      <w:r w:rsidR="00DB4D5B" w:rsidRPr="00130C7A">
        <w:rPr>
          <w:lang w:val="fr-FR"/>
        </w:rPr>
        <w:t>administration pénitentiaire</w:t>
      </w:r>
      <w:r w:rsidR="003C7C2E" w:rsidRPr="00130C7A">
        <w:rPr>
          <w:lang w:val="fr-FR"/>
        </w:rPr>
        <w:t xml:space="preserve"> </w:t>
      </w:r>
      <w:r w:rsidR="005247BA" w:rsidRPr="00130C7A">
        <w:rPr>
          <w:lang w:val="fr-FR"/>
        </w:rPr>
        <w:t>aurait constitué un remède accessible et effectif</w:t>
      </w:r>
      <w:r w:rsidR="00706472" w:rsidRPr="00130C7A">
        <w:rPr>
          <w:lang w:val="fr-FR"/>
        </w:rPr>
        <w:t>. Il</w:t>
      </w:r>
      <w:r w:rsidR="0084045C" w:rsidRPr="00130C7A">
        <w:rPr>
          <w:lang w:val="fr-FR"/>
        </w:rPr>
        <w:t xml:space="preserve"> se réfère en particulier </w:t>
      </w:r>
      <w:r w:rsidR="005247BA" w:rsidRPr="00130C7A">
        <w:rPr>
          <w:lang w:val="fr-FR"/>
        </w:rPr>
        <w:t xml:space="preserve">à </w:t>
      </w:r>
      <w:r w:rsidR="00706472" w:rsidRPr="00130C7A">
        <w:rPr>
          <w:lang w:val="fr-FR"/>
        </w:rPr>
        <w:t>une</w:t>
      </w:r>
      <w:r w:rsidR="005247BA" w:rsidRPr="00130C7A">
        <w:rPr>
          <w:lang w:val="fr-FR"/>
        </w:rPr>
        <w:t xml:space="preserve"> </w:t>
      </w:r>
      <w:r w:rsidR="00706472" w:rsidRPr="00130C7A">
        <w:rPr>
          <w:lang w:val="fr-FR"/>
        </w:rPr>
        <w:t>décision</w:t>
      </w:r>
      <w:r w:rsidR="005247BA" w:rsidRPr="00130C7A">
        <w:rPr>
          <w:lang w:val="fr-FR"/>
        </w:rPr>
        <w:t xml:space="preserve"> rendue </w:t>
      </w:r>
      <w:r w:rsidR="001B79F3" w:rsidRPr="00130C7A">
        <w:rPr>
          <w:lang w:val="fr-FR"/>
        </w:rPr>
        <w:t>par le tribunal de Milan en 2008</w:t>
      </w:r>
      <w:r w:rsidR="00706472" w:rsidRPr="00130C7A">
        <w:rPr>
          <w:lang w:val="fr-FR"/>
        </w:rPr>
        <w:t>,</w:t>
      </w:r>
      <w:r w:rsidR="001B79F3" w:rsidRPr="00130C7A">
        <w:rPr>
          <w:lang w:val="fr-FR"/>
        </w:rPr>
        <w:t xml:space="preserve"> </w:t>
      </w:r>
      <w:r w:rsidR="00706472" w:rsidRPr="00130C7A">
        <w:rPr>
          <w:lang w:val="fr-FR"/>
        </w:rPr>
        <w:t>confirmée par la cour d</w:t>
      </w:r>
      <w:r w:rsidR="00130C7A" w:rsidRPr="00130C7A">
        <w:rPr>
          <w:lang w:val="fr-FR"/>
        </w:rPr>
        <w:t>’</w:t>
      </w:r>
      <w:r w:rsidR="00706472" w:rsidRPr="00130C7A">
        <w:rPr>
          <w:lang w:val="fr-FR"/>
        </w:rPr>
        <w:t xml:space="preserve">appel </w:t>
      </w:r>
      <w:r w:rsidR="00512132" w:rsidRPr="00130C7A">
        <w:rPr>
          <w:lang w:val="fr-FR"/>
        </w:rPr>
        <w:t xml:space="preserve">de Milan </w:t>
      </w:r>
      <w:r w:rsidR="00706472" w:rsidRPr="00130C7A">
        <w:rPr>
          <w:lang w:val="fr-FR"/>
        </w:rPr>
        <w:t xml:space="preserve">en 2012, </w:t>
      </w:r>
      <w:r w:rsidR="00876E58" w:rsidRPr="00130C7A">
        <w:rPr>
          <w:lang w:val="fr-FR"/>
        </w:rPr>
        <w:t>portant</w:t>
      </w:r>
      <w:r w:rsidR="00355068" w:rsidRPr="00130C7A">
        <w:rPr>
          <w:lang w:val="fr-FR"/>
        </w:rPr>
        <w:t xml:space="preserve"> </w:t>
      </w:r>
      <w:r w:rsidR="00577CD7" w:rsidRPr="00130C7A">
        <w:rPr>
          <w:lang w:val="fr-FR"/>
        </w:rPr>
        <w:t>condamn</w:t>
      </w:r>
      <w:r w:rsidR="00876E58" w:rsidRPr="00130C7A">
        <w:rPr>
          <w:lang w:val="fr-FR"/>
        </w:rPr>
        <w:t>ation du</w:t>
      </w:r>
      <w:r w:rsidR="00497129" w:rsidRPr="00130C7A">
        <w:rPr>
          <w:lang w:val="fr-FR"/>
        </w:rPr>
        <w:t xml:space="preserve"> ministère de la Justice à dédommager les </w:t>
      </w:r>
      <w:r w:rsidR="00706472" w:rsidRPr="00130C7A">
        <w:rPr>
          <w:lang w:val="fr-FR"/>
        </w:rPr>
        <w:t>parents d</w:t>
      </w:r>
      <w:r w:rsidR="00130C7A" w:rsidRPr="00130C7A">
        <w:rPr>
          <w:lang w:val="fr-FR"/>
        </w:rPr>
        <w:t>’</w:t>
      </w:r>
      <w:r w:rsidR="00706472" w:rsidRPr="00130C7A">
        <w:rPr>
          <w:lang w:val="fr-FR"/>
        </w:rPr>
        <w:t xml:space="preserve">un détenu décédé </w:t>
      </w:r>
      <w:r w:rsidR="00CC0E42" w:rsidRPr="00130C7A">
        <w:rPr>
          <w:lang w:val="fr-FR"/>
        </w:rPr>
        <w:t>dans des circonstances similaires à celle</w:t>
      </w:r>
      <w:r w:rsidR="00355068" w:rsidRPr="00130C7A">
        <w:rPr>
          <w:lang w:val="fr-FR"/>
        </w:rPr>
        <w:t>s</w:t>
      </w:r>
      <w:r w:rsidR="00CC0E42" w:rsidRPr="00130C7A">
        <w:rPr>
          <w:lang w:val="fr-FR"/>
        </w:rPr>
        <w:t xml:space="preserve"> de la présente affaire</w:t>
      </w:r>
      <w:r w:rsidR="005A4D8D" w:rsidRPr="00130C7A">
        <w:rPr>
          <w:lang w:val="fr-FR"/>
        </w:rPr>
        <w:t>.</w:t>
      </w:r>
      <w:r w:rsidR="00D128F3" w:rsidRPr="00130C7A">
        <w:rPr>
          <w:lang w:val="fr-FR"/>
        </w:rPr>
        <w:t xml:space="preserve"> Le Gouvernement produit également un jugement du 29 juin 2017 </w:t>
      </w:r>
      <w:r w:rsidR="00355068" w:rsidRPr="00130C7A">
        <w:rPr>
          <w:lang w:val="fr-FR"/>
        </w:rPr>
        <w:t>par</w:t>
      </w:r>
      <w:r w:rsidR="00D128F3" w:rsidRPr="00130C7A">
        <w:rPr>
          <w:lang w:val="fr-FR"/>
        </w:rPr>
        <w:t xml:space="preserve"> lequel le tribunal de Milan</w:t>
      </w:r>
      <w:r w:rsidR="0054441F" w:rsidRPr="00130C7A">
        <w:rPr>
          <w:lang w:val="fr-FR"/>
        </w:rPr>
        <w:t xml:space="preserve"> </w:t>
      </w:r>
      <w:r w:rsidR="00355068" w:rsidRPr="00130C7A">
        <w:rPr>
          <w:lang w:val="fr-FR"/>
        </w:rPr>
        <w:t xml:space="preserve">a </w:t>
      </w:r>
      <w:r w:rsidR="00AB362B" w:rsidRPr="00130C7A">
        <w:rPr>
          <w:lang w:val="fr-FR"/>
        </w:rPr>
        <w:t>statu</w:t>
      </w:r>
      <w:r w:rsidR="00355068" w:rsidRPr="00130C7A">
        <w:rPr>
          <w:lang w:val="fr-FR"/>
        </w:rPr>
        <w:t>é</w:t>
      </w:r>
      <w:r w:rsidR="0054441F" w:rsidRPr="00130C7A">
        <w:rPr>
          <w:lang w:val="fr-FR"/>
        </w:rPr>
        <w:t>,</w:t>
      </w:r>
      <w:r w:rsidR="00E61C08" w:rsidRPr="00130C7A">
        <w:rPr>
          <w:lang w:val="fr-FR"/>
        </w:rPr>
        <w:t xml:space="preserve"> </w:t>
      </w:r>
      <w:r w:rsidR="00CC0E42" w:rsidRPr="00130C7A">
        <w:rPr>
          <w:lang w:val="fr-FR"/>
        </w:rPr>
        <w:t>bien qu</w:t>
      </w:r>
      <w:r w:rsidR="00130C7A" w:rsidRPr="00130C7A">
        <w:rPr>
          <w:lang w:val="fr-FR"/>
        </w:rPr>
        <w:t>’</w:t>
      </w:r>
      <w:r w:rsidR="00CC0E42" w:rsidRPr="00130C7A">
        <w:rPr>
          <w:lang w:val="fr-FR"/>
        </w:rPr>
        <w:t>en</w:t>
      </w:r>
      <w:r w:rsidR="0054441F" w:rsidRPr="00130C7A">
        <w:rPr>
          <w:lang w:val="fr-FR"/>
        </w:rPr>
        <w:t xml:space="preserve"> </w:t>
      </w:r>
      <w:r w:rsidR="00CC0E42" w:rsidRPr="00130C7A">
        <w:rPr>
          <w:lang w:val="fr-FR"/>
        </w:rPr>
        <w:t>la</w:t>
      </w:r>
      <w:r w:rsidR="0054441F" w:rsidRPr="00130C7A">
        <w:rPr>
          <w:lang w:val="fr-FR"/>
        </w:rPr>
        <w:t xml:space="preserve"> rejetant </w:t>
      </w:r>
      <w:r w:rsidR="00E61C08" w:rsidRPr="00130C7A">
        <w:rPr>
          <w:lang w:val="fr-FR"/>
        </w:rPr>
        <w:t xml:space="preserve">quant </w:t>
      </w:r>
      <w:r w:rsidR="00355068" w:rsidRPr="00130C7A">
        <w:rPr>
          <w:lang w:val="fr-FR"/>
        </w:rPr>
        <w:t xml:space="preserve">à son </w:t>
      </w:r>
      <w:r w:rsidR="0054441F" w:rsidRPr="00130C7A">
        <w:rPr>
          <w:lang w:val="fr-FR"/>
        </w:rPr>
        <w:t xml:space="preserve">bien-fondé, </w:t>
      </w:r>
      <w:r w:rsidR="00E61C08" w:rsidRPr="00130C7A">
        <w:rPr>
          <w:lang w:val="fr-FR"/>
        </w:rPr>
        <w:t xml:space="preserve">sur </w:t>
      </w:r>
      <w:r w:rsidR="0054441F" w:rsidRPr="00130C7A">
        <w:rPr>
          <w:lang w:val="fr-FR"/>
        </w:rPr>
        <w:t>l</w:t>
      </w:r>
      <w:r w:rsidR="00E61C08" w:rsidRPr="00130C7A">
        <w:rPr>
          <w:lang w:val="fr-FR"/>
        </w:rPr>
        <w:t>a demande de dédommagement introduite</w:t>
      </w:r>
      <w:r w:rsidR="0054441F" w:rsidRPr="00130C7A">
        <w:rPr>
          <w:lang w:val="fr-FR"/>
        </w:rPr>
        <w:t xml:space="preserve"> par les membres de la famille d</w:t>
      </w:r>
      <w:r w:rsidR="00130C7A" w:rsidRPr="00130C7A">
        <w:rPr>
          <w:lang w:val="fr-FR"/>
        </w:rPr>
        <w:t>’</w:t>
      </w:r>
      <w:r w:rsidR="0054441F" w:rsidRPr="00130C7A">
        <w:rPr>
          <w:lang w:val="fr-FR"/>
        </w:rPr>
        <w:t>un détenu décédé des suites d</w:t>
      </w:r>
      <w:r w:rsidR="00130C7A" w:rsidRPr="00130C7A">
        <w:rPr>
          <w:lang w:val="fr-FR"/>
        </w:rPr>
        <w:t>’</w:t>
      </w:r>
      <w:r w:rsidR="00355068" w:rsidRPr="00130C7A">
        <w:rPr>
          <w:lang w:val="fr-FR"/>
        </w:rPr>
        <w:t xml:space="preserve">une </w:t>
      </w:r>
      <w:r w:rsidR="0054441F" w:rsidRPr="00130C7A">
        <w:rPr>
          <w:lang w:val="fr-FR"/>
        </w:rPr>
        <w:t>inhalation volontaire de gaz.</w:t>
      </w:r>
    </w:p>
    <w:p w:rsidR="00712AF4" w:rsidRPr="00130C7A" w:rsidRDefault="0049712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45</w:t>
      </w:r>
      <w:r w:rsidRPr="00130C7A">
        <w:rPr>
          <w:lang w:val="fr-FR"/>
        </w:rPr>
        <w:fldChar w:fldCharType="end"/>
      </w:r>
      <w:r w:rsidRPr="00130C7A">
        <w:rPr>
          <w:lang w:val="fr-FR"/>
        </w:rPr>
        <w:t>.  </w:t>
      </w:r>
      <w:r w:rsidR="00712AF4" w:rsidRPr="00130C7A">
        <w:rPr>
          <w:lang w:val="fr-FR"/>
        </w:rPr>
        <w:t>Selon le Gouvernement, l</w:t>
      </w:r>
      <w:r w:rsidR="00C92826" w:rsidRPr="00130C7A">
        <w:rPr>
          <w:lang w:val="fr-FR"/>
        </w:rPr>
        <w:t>e requérant</w:t>
      </w:r>
      <w:r w:rsidR="00712AF4" w:rsidRPr="00130C7A">
        <w:rPr>
          <w:lang w:val="fr-FR"/>
        </w:rPr>
        <w:t xml:space="preserve"> </w:t>
      </w:r>
      <w:r w:rsidR="00C92826" w:rsidRPr="00130C7A">
        <w:rPr>
          <w:lang w:val="fr-FR"/>
        </w:rPr>
        <w:t>a</w:t>
      </w:r>
      <w:r w:rsidR="00712AF4" w:rsidRPr="00130C7A">
        <w:rPr>
          <w:lang w:val="fr-FR"/>
        </w:rPr>
        <w:t xml:space="preserve"> renoncé à </w:t>
      </w:r>
      <w:r w:rsidR="00C92826" w:rsidRPr="00130C7A">
        <w:rPr>
          <w:lang w:val="fr-FR"/>
        </w:rPr>
        <w:t>son</w:t>
      </w:r>
      <w:r w:rsidR="00712AF4" w:rsidRPr="00130C7A">
        <w:rPr>
          <w:lang w:val="fr-FR"/>
        </w:rPr>
        <w:t xml:space="preserve"> droit à </w:t>
      </w:r>
      <w:r w:rsidR="005352D7" w:rsidRPr="00130C7A">
        <w:rPr>
          <w:lang w:val="fr-FR"/>
        </w:rPr>
        <w:t>obtenir</w:t>
      </w:r>
      <w:r w:rsidR="005247BA" w:rsidRPr="00130C7A">
        <w:rPr>
          <w:lang w:val="fr-FR"/>
        </w:rPr>
        <w:t xml:space="preserve"> au niveau national</w:t>
      </w:r>
      <w:r w:rsidR="005352D7" w:rsidRPr="00130C7A">
        <w:rPr>
          <w:lang w:val="fr-FR"/>
        </w:rPr>
        <w:t xml:space="preserve"> </w:t>
      </w:r>
      <w:r w:rsidR="00712AF4" w:rsidRPr="00130C7A">
        <w:rPr>
          <w:lang w:val="fr-FR"/>
        </w:rPr>
        <w:t>un redressement pour la violation alléguée</w:t>
      </w:r>
      <w:r w:rsidR="002378F3" w:rsidRPr="00130C7A">
        <w:rPr>
          <w:lang w:val="fr-FR"/>
        </w:rPr>
        <w:t xml:space="preserve"> devant la Cour</w:t>
      </w:r>
      <w:r w:rsidR="00712AF4" w:rsidRPr="00130C7A">
        <w:rPr>
          <w:lang w:val="fr-FR"/>
        </w:rPr>
        <w:t>.</w:t>
      </w:r>
    </w:p>
    <w:p w:rsidR="001E0028" w:rsidRPr="00130C7A" w:rsidRDefault="007914D7"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46</w:t>
      </w:r>
      <w:r w:rsidRPr="00130C7A">
        <w:rPr>
          <w:lang w:val="fr-FR"/>
        </w:rPr>
        <w:fldChar w:fldCharType="end"/>
      </w:r>
      <w:r w:rsidRPr="00130C7A">
        <w:rPr>
          <w:lang w:val="fr-FR"/>
        </w:rPr>
        <w:t>.  </w:t>
      </w:r>
      <w:r w:rsidR="000409F5" w:rsidRPr="00130C7A">
        <w:rPr>
          <w:lang w:val="fr-FR"/>
        </w:rPr>
        <w:t>Le</w:t>
      </w:r>
      <w:r w:rsidR="00851892" w:rsidRPr="00130C7A">
        <w:rPr>
          <w:lang w:val="fr-FR"/>
        </w:rPr>
        <w:t xml:space="preserve"> </w:t>
      </w:r>
      <w:r w:rsidR="000409F5" w:rsidRPr="00130C7A">
        <w:rPr>
          <w:lang w:val="fr-FR"/>
        </w:rPr>
        <w:t>requérant</w:t>
      </w:r>
      <w:r w:rsidR="00712AF4" w:rsidRPr="00130C7A">
        <w:rPr>
          <w:lang w:val="fr-FR"/>
        </w:rPr>
        <w:t xml:space="preserve"> </w:t>
      </w:r>
      <w:r w:rsidR="005B4FA4" w:rsidRPr="00130C7A">
        <w:rPr>
          <w:lang w:val="fr-FR"/>
        </w:rPr>
        <w:t>réplique</w:t>
      </w:r>
      <w:r w:rsidR="002D46E2" w:rsidRPr="00130C7A">
        <w:rPr>
          <w:lang w:val="fr-FR"/>
        </w:rPr>
        <w:t xml:space="preserve"> que le Gouvernement a tort de considérer qu</w:t>
      </w:r>
      <w:r w:rsidR="00130C7A" w:rsidRPr="00130C7A">
        <w:rPr>
          <w:lang w:val="fr-FR"/>
        </w:rPr>
        <w:t>’</w:t>
      </w:r>
      <w:r w:rsidR="002D46E2" w:rsidRPr="00130C7A">
        <w:rPr>
          <w:lang w:val="fr-FR"/>
        </w:rPr>
        <w:t>il n</w:t>
      </w:r>
      <w:r w:rsidR="00130C7A" w:rsidRPr="00130C7A">
        <w:rPr>
          <w:lang w:val="fr-FR"/>
        </w:rPr>
        <w:t>’</w:t>
      </w:r>
      <w:r w:rsidR="002D46E2" w:rsidRPr="00130C7A">
        <w:rPr>
          <w:lang w:val="fr-FR"/>
        </w:rPr>
        <w:t>a pas donné aux juridictions internes l</w:t>
      </w:r>
      <w:r w:rsidR="00130C7A" w:rsidRPr="00130C7A">
        <w:rPr>
          <w:lang w:val="fr-FR"/>
        </w:rPr>
        <w:t>’</w:t>
      </w:r>
      <w:r w:rsidR="002D46E2" w:rsidRPr="00130C7A">
        <w:rPr>
          <w:lang w:val="fr-FR"/>
        </w:rPr>
        <w:t>opportunité de constater et de redresse</w:t>
      </w:r>
      <w:r w:rsidR="00E9251C" w:rsidRPr="00130C7A">
        <w:rPr>
          <w:lang w:val="fr-FR"/>
        </w:rPr>
        <w:t>r la violation de l</w:t>
      </w:r>
      <w:r w:rsidR="00130C7A" w:rsidRPr="00130C7A">
        <w:rPr>
          <w:lang w:val="fr-FR"/>
        </w:rPr>
        <w:t>’</w:t>
      </w:r>
      <w:r w:rsidR="00E9251C" w:rsidRPr="00130C7A">
        <w:rPr>
          <w:lang w:val="fr-FR"/>
        </w:rPr>
        <w:t>article 2</w:t>
      </w:r>
      <w:r w:rsidR="002669F4" w:rsidRPr="00130C7A">
        <w:rPr>
          <w:lang w:val="fr-FR"/>
        </w:rPr>
        <w:t xml:space="preserve"> de la Convention</w:t>
      </w:r>
      <w:r w:rsidR="00E9251C" w:rsidRPr="00130C7A">
        <w:rPr>
          <w:lang w:val="fr-FR"/>
        </w:rPr>
        <w:t xml:space="preserve">. </w:t>
      </w:r>
      <w:r w:rsidR="002D46E2" w:rsidRPr="00130C7A">
        <w:rPr>
          <w:lang w:val="fr-FR"/>
        </w:rPr>
        <w:t>Il soutient</w:t>
      </w:r>
      <w:r w:rsidR="00712AF4" w:rsidRPr="00130C7A">
        <w:rPr>
          <w:lang w:val="fr-FR"/>
        </w:rPr>
        <w:t xml:space="preserve"> avoir utilisé</w:t>
      </w:r>
      <w:r w:rsidR="005352D7" w:rsidRPr="00130C7A">
        <w:rPr>
          <w:lang w:val="fr-FR"/>
        </w:rPr>
        <w:t xml:space="preserve"> la voie de recours </w:t>
      </w:r>
      <w:r w:rsidR="005B4FA4" w:rsidRPr="00130C7A">
        <w:rPr>
          <w:lang w:val="fr-FR"/>
        </w:rPr>
        <w:t xml:space="preserve">la </w:t>
      </w:r>
      <w:r w:rsidR="005352D7" w:rsidRPr="00130C7A">
        <w:rPr>
          <w:lang w:val="fr-FR"/>
        </w:rPr>
        <w:t>plus eff</w:t>
      </w:r>
      <w:r w:rsidR="005B4FA4" w:rsidRPr="00130C7A">
        <w:rPr>
          <w:lang w:val="fr-FR"/>
        </w:rPr>
        <w:t>ectiv</w:t>
      </w:r>
      <w:r w:rsidR="005352D7" w:rsidRPr="00130C7A">
        <w:rPr>
          <w:lang w:val="fr-FR"/>
        </w:rPr>
        <w:t xml:space="preserve">e </w:t>
      </w:r>
      <w:r w:rsidR="0024561B" w:rsidRPr="00130C7A">
        <w:rPr>
          <w:lang w:val="fr-FR"/>
        </w:rPr>
        <w:t xml:space="preserve">non seulement </w:t>
      </w:r>
      <w:r w:rsidR="005352D7" w:rsidRPr="00130C7A">
        <w:rPr>
          <w:lang w:val="fr-FR"/>
        </w:rPr>
        <w:t>pour obtenir un dédommagement</w:t>
      </w:r>
      <w:r w:rsidR="005B4FA4" w:rsidRPr="00130C7A">
        <w:rPr>
          <w:lang w:val="fr-FR"/>
        </w:rPr>
        <w:t>,</w:t>
      </w:r>
      <w:r w:rsidR="005352D7" w:rsidRPr="00130C7A">
        <w:rPr>
          <w:lang w:val="fr-FR"/>
        </w:rPr>
        <w:t xml:space="preserve"> mais </w:t>
      </w:r>
      <w:r w:rsidR="00B506E6" w:rsidRPr="00130C7A">
        <w:rPr>
          <w:lang w:val="fr-FR"/>
        </w:rPr>
        <w:t>avant tout</w:t>
      </w:r>
      <w:r w:rsidR="005352D7" w:rsidRPr="00130C7A">
        <w:rPr>
          <w:lang w:val="fr-FR"/>
        </w:rPr>
        <w:t xml:space="preserve"> pour </w:t>
      </w:r>
      <w:r w:rsidR="002669F4" w:rsidRPr="00130C7A">
        <w:rPr>
          <w:lang w:val="fr-FR"/>
        </w:rPr>
        <w:t xml:space="preserve">faire </w:t>
      </w:r>
      <w:r w:rsidR="005352D7" w:rsidRPr="00130C7A">
        <w:rPr>
          <w:lang w:val="fr-FR"/>
        </w:rPr>
        <w:t xml:space="preserve">rechercher </w:t>
      </w:r>
      <w:r w:rsidR="00285331" w:rsidRPr="00130C7A">
        <w:rPr>
          <w:lang w:val="fr-FR"/>
        </w:rPr>
        <w:t xml:space="preserve">le ou </w:t>
      </w:r>
      <w:r w:rsidR="005352D7" w:rsidRPr="00130C7A">
        <w:rPr>
          <w:lang w:val="fr-FR"/>
        </w:rPr>
        <w:t xml:space="preserve">les responsables de la mort </w:t>
      </w:r>
      <w:r w:rsidR="006F03FE" w:rsidRPr="00130C7A">
        <w:rPr>
          <w:lang w:val="fr-FR"/>
        </w:rPr>
        <w:t>de son neveu</w:t>
      </w:r>
      <w:r w:rsidR="005352D7" w:rsidRPr="00130C7A">
        <w:rPr>
          <w:lang w:val="fr-FR"/>
        </w:rPr>
        <w:t xml:space="preserve">. </w:t>
      </w:r>
      <w:r w:rsidR="00EB2C4E" w:rsidRPr="00130C7A">
        <w:rPr>
          <w:lang w:val="fr-FR"/>
        </w:rPr>
        <w:t>Il estime que</w:t>
      </w:r>
      <w:r w:rsidR="00BC3E39" w:rsidRPr="00130C7A">
        <w:rPr>
          <w:lang w:val="fr-FR"/>
        </w:rPr>
        <w:t xml:space="preserve"> </w:t>
      </w:r>
      <w:r w:rsidR="000C5F93" w:rsidRPr="00130C7A">
        <w:rPr>
          <w:lang w:val="fr-FR"/>
        </w:rPr>
        <w:t>les</w:t>
      </w:r>
      <w:r w:rsidR="005352D7" w:rsidRPr="00130C7A">
        <w:rPr>
          <w:lang w:val="fr-FR"/>
        </w:rPr>
        <w:t xml:space="preserve"> pouvoirs d</w:t>
      </w:r>
      <w:r w:rsidR="00130C7A" w:rsidRPr="00130C7A">
        <w:rPr>
          <w:lang w:val="fr-FR"/>
        </w:rPr>
        <w:t>’</w:t>
      </w:r>
      <w:r w:rsidR="005352D7" w:rsidRPr="00130C7A">
        <w:rPr>
          <w:lang w:val="fr-FR"/>
        </w:rPr>
        <w:t>enquête des autorités pénales sont beaucoup plus important</w:t>
      </w:r>
      <w:r w:rsidR="004A7817" w:rsidRPr="00130C7A">
        <w:rPr>
          <w:lang w:val="fr-FR"/>
        </w:rPr>
        <w:t>s</w:t>
      </w:r>
      <w:r w:rsidR="005352D7" w:rsidRPr="00130C7A">
        <w:rPr>
          <w:lang w:val="fr-FR"/>
        </w:rPr>
        <w:t xml:space="preserve"> </w:t>
      </w:r>
      <w:r w:rsidR="00512132" w:rsidRPr="00130C7A">
        <w:rPr>
          <w:lang w:val="fr-FR"/>
        </w:rPr>
        <w:t>que</w:t>
      </w:r>
      <w:r w:rsidR="005352D7" w:rsidRPr="00130C7A">
        <w:rPr>
          <w:lang w:val="fr-FR"/>
        </w:rPr>
        <w:t xml:space="preserve"> ceux </w:t>
      </w:r>
      <w:r w:rsidR="005B4FA4" w:rsidRPr="00130C7A">
        <w:rPr>
          <w:lang w:val="fr-FR"/>
        </w:rPr>
        <w:t xml:space="preserve">mis </w:t>
      </w:r>
      <w:r w:rsidR="004A7817" w:rsidRPr="00130C7A">
        <w:rPr>
          <w:lang w:val="fr-FR"/>
        </w:rPr>
        <w:t xml:space="preserve">à la disposition </w:t>
      </w:r>
      <w:r w:rsidR="005352D7" w:rsidRPr="00130C7A">
        <w:rPr>
          <w:lang w:val="fr-FR"/>
        </w:rPr>
        <w:t>d</w:t>
      </w:r>
      <w:r w:rsidR="00130C7A" w:rsidRPr="00130C7A">
        <w:rPr>
          <w:lang w:val="fr-FR"/>
        </w:rPr>
        <w:t>’</w:t>
      </w:r>
      <w:r w:rsidR="005352D7" w:rsidRPr="00130C7A">
        <w:rPr>
          <w:lang w:val="fr-FR"/>
        </w:rPr>
        <w:t>un</w:t>
      </w:r>
      <w:r w:rsidR="004F43D2" w:rsidRPr="00130C7A">
        <w:rPr>
          <w:lang w:val="fr-FR"/>
        </w:rPr>
        <w:t>e</w:t>
      </w:r>
      <w:r w:rsidR="005352D7" w:rsidRPr="00130C7A">
        <w:rPr>
          <w:lang w:val="fr-FR"/>
        </w:rPr>
        <w:t xml:space="preserve"> </w:t>
      </w:r>
      <w:r w:rsidR="004F43D2" w:rsidRPr="00130C7A">
        <w:rPr>
          <w:lang w:val="fr-FR"/>
        </w:rPr>
        <w:t xml:space="preserve">partie privée, </w:t>
      </w:r>
      <w:r w:rsidR="00961DEE" w:rsidRPr="00130C7A">
        <w:rPr>
          <w:lang w:val="fr-FR"/>
        </w:rPr>
        <w:t>à</w:t>
      </w:r>
      <w:r w:rsidR="004A7817" w:rsidRPr="00130C7A">
        <w:rPr>
          <w:lang w:val="fr-FR"/>
        </w:rPr>
        <w:t xml:space="preserve"> laquelle</w:t>
      </w:r>
      <w:r w:rsidR="00961DEE" w:rsidRPr="00130C7A">
        <w:rPr>
          <w:lang w:val="fr-FR"/>
        </w:rPr>
        <w:t>, d</w:t>
      </w:r>
      <w:r w:rsidR="00130C7A" w:rsidRPr="00130C7A">
        <w:rPr>
          <w:lang w:val="fr-FR"/>
        </w:rPr>
        <w:t>’</w:t>
      </w:r>
      <w:r w:rsidR="00961DEE" w:rsidRPr="00130C7A">
        <w:rPr>
          <w:lang w:val="fr-FR"/>
        </w:rPr>
        <w:t>ailleurs,</w:t>
      </w:r>
      <w:r w:rsidR="004A7817" w:rsidRPr="00130C7A">
        <w:rPr>
          <w:lang w:val="fr-FR"/>
        </w:rPr>
        <w:t xml:space="preserve"> la charge de</w:t>
      </w:r>
      <w:r w:rsidR="00056A2F" w:rsidRPr="00130C7A">
        <w:rPr>
          <w:lang w:val="fr-FR"/>
        </w:rPr>
        <w:t xml:space="preserve"> la preuve </w:t>
      </w:r>
      <w:r w:rsidR="00961DEE" w:rsidRPr="00130C7A">
        <w:rPr>
          <w:lang w:val="fr-FR"/>
        </w:rPr>
        <w:t>incombe</w:t>
      </w:r>
      <w:r w:rsidR="00EB2C4E" w:rsidRPr="00130C7A">
        <w:rPr>
          <w:lang w:val="fr-FR"/>
        </w:rPr>
        <w:t>rait</w:t>
      </w:r>
      <w:r w:rsidR="00961DEE" w:rsidRPr="00130C7A">
        <w:rPr>
          <w:lang w:val="fr-FR"/>
        </w:rPr>
        <w:t xml:space="preserve"> </w:t>
      </w:r>
      <w:r w:rsidR="00056A2F" w:rsidRPr="00130C7A">
        <w:rPr>
          <w:lang w:val="fr-FR"/>
        </w:rPr>
        <w:t>dans le procès civil</w:t>
      </w:r>
      <w:r w:rsidR="00AE7591" w:rsidRPr="00130C7A">
        <w:rPr>
          <w:lang w:val="fr-FR"/>
        </w:rPr>
        <w:t>.</w:t>
      </w:r>
    </w:p>
    <w:p w:rsidR="001E0028" w:rsidRPr="00130C7A" w:rsidRDefault="007914D7"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47</w:t>
      </w:r>
      <w:r w:rsidRPr="00130C7A">
        <w:rPr>
          <w:lang w:val="fr-FR"/>
        </w:rPr>
        <w:fldChar w:fldCharType="end"/>
      </w:r>
      <w:r w:rsidRPr="00130C7A">
        <w:rPr>
          <w:lang w:val="fr-FR"/>
        </w:rPr>
        <w:t>.  </w:t>
      </w:r>
      <w:r w:rsidR="00EB2C4E" w:rsidRPr="00130C7A">
        <w:rPr>
          <w:lang w:val="fr-FR"/>
        </w:rPr>
        <w:t>En outre, l</w:t>
      </w:r>
      <w:r w:rsidR="00C92826" w:rsidRPr="00130C7A">
        <w:rPr>
          <w:lang w:val="fr-FR"/>
        </w:rPr>
        <w:t>e</w:t>
      </w:r>
      <w:r w:rsidR="004A7817" w:rsidRPr="00130C7A">
        <w:rPr>
          <w:lang w:val="fr-FR"/>
        </w:rPr>
        <w:t xml:space="preserve"> requérant </w:t>
      </w:r>
      <w:r w:rsidR="00BC3E39" w:rsidRPr="00130C7A">
        <w:rPr>
          <w:lang w:val="fr-FR"/>
        </w:rPr>
        <w:t>indique</w:t>
      </w:r>
      <w:r w:rsidR="00022677" w:rsidRPr="00130C7A">
        <w:rPr>
          <w:lang w:val="fr-FR"/>
        </w:rPr>
        <w:t xml:space="preserve"> que </w:t>
      </w:r>
      <w:r w:rsidR="00EB2D21" w:rsidRPr="00130C7A">
        <w:rPr>
          <w:lang w:val="fr-FR"/>
        </w:rPr>
        <w:t xml:space="preserve">la constitution de partie civile dans une procédure pénale </w:t>
      </w:r>
      <w:r w:rsidR="00022677" w:rsidRPr="00130C7A">
        <w:rPr>
          <w:lang w:val="fr-FR"/>
        </w:rPr>
        <w:t>représente</w:t>
      </w:r>
      <w:r w:rsidR="00BC3E39" w:rsidRPr="00130C7A">
        <w:rPr>
          <w:lang w:val="fr-FR"/>
        </w:rPr>
        <w:t>,</w:t>
      </w:r>
      <w:r w:rsidR="00EB2D21" w:rsidRPr="00130C7A">
        <w:rPr>
          <w:lang w:val="fr-FR"/>
        </w:rPr>
        <w:t xml:space="preserve"> </w:t>
      </w:r>
      <w:r w:rsidR="00DA25BB" w:rsidRPr="00130C7A">
        <w:rPr>
          <w:lang w:val="fr-FR"/>
        </w:rPr>
        <w:t>selon la jurisprudence de la Cour</w:t>
      </w:r>
      <w:r w:rsidR="00BC3E39" w:rsidRPr="00130C7A">
        <w:rPr>
          <w:lang w:val="fr-FR"/>
        </w:rPr>
        <w:t>,</w:t>
      </w:r>
      <w:r w:rsidR="00DA25BB" w:rsidRPr="00130C7A">
        <w:rPr>
          <w:lang w:val="fr-FR"/>
        </w:rPr>
        <w:t xml:space="preserve"> </w:t>
      </w:r>
      <w:r w:rsidR="00022677" w:rsidRPr="00130C7A">
        <w:rPr>
          <w:lang w:val="fr-FR"/>
        </w:rPr>
        <w:t>la voie privilégiée pour dénoncer le décès d</w:t>
      </w:r>
      <w:r w:rsidR="00130C7A" w:rsidRPr="00130C7A">
        <w:rPr>
          <w:lang w:val="fr-FR"/>
        </w:rPr>
        <w:t>’</w:t>
      </w:r>
      <w:r w:rsidR="00022677" w:rsidRPr="00130C7A">
        <w:rPr>
          <w:lang w:val="fr-FR"/>
        </w:rPr>
        <w:t xml:space="preserve">un détenu dans des conditions suspectes. Or, </w:t>
      </w:r>
      <w:r w:rsidR="00EB2C4E" w:rsidRPr="00130C7A">
        <w:rPr>
          <w:lang w:val="fr-FR"/>
        </w:rPr>
        <w:t xml:space="preserve">à ses dires, </w:t>
      </w:r>
      <w:r w:rsidR="00022677" w:rsidRPr="00130C7A">
        <w:rPr>
          <w:lang w:val="fr-FR"/>
        </w:rPr>
        <w:t>s</w:t>
      </w:r>
      <w:r w:rsidR="00130C7A" w:rsidRPr="00130C7A">
        <w:rPr>
          <w:lang w:val="fr-FR"/>
        </w:rPr>
        <w:t>’</w:t>
      </w:r>
      <w:r w:rsidR="00022677" w:rsidRPr="00130C7A">
        <w:rPr>
          <w:lang w:val="fr-FR"/>
        </w:rPr>
        <w:t>il n</w:t>
      </w:r>
      <w:r w:rsidR="00130C7A" w:rsidRPr="00130C7A">
        <w:rPr>
          <w:lang w:val="fr-FR"/>
        </w:rPr>
        <w:t>’</w:t>
      </w:r>
      <w:r w:rsidR="00C92826" w:rsidRPr="00130C7A">
        <w:rPr>
          <w:lang w:val="fr-FR"/>
        </w:rPr>
        <w:t>a</w:t>
      </w:r>
      <w:r w:rsidR="00022677" w:rsidRPr="00130C7A">
        <w:rPr>
          <w:lang w:val="fr-FR"/>
        </w:rPr>
        <w:t xml:space="preserve"> pas eu la possibilité de se constituer partie</w:t>
      </w:r>
      <w:r w:rsidR="00C92826" w:rsidRPr="00130C7A">
        <w:rPr>
          <w:lang w:val="fr-FR"/>
        </w:rPr>
        <w:t xml:space="preserve"> civile dans la procédure, il</w:t>
      </w:r>
      <w:r w:rsidR="00022677" w:rsidRPr="00130C7A">
        <w:rPr>
          <w:lang w:val="fr-FR"/>
        </w:rPr>
        <w:t xml:space="preserve"> </w:t>
      </w:r>
      <w:r w:rsidR="00C92826" w:rsidRPr="00130C7A">
        <w:rPr>
          <w:lang w:val="fr-FR"/>
        </w:rPr>
        <w:t>a</w:t>
      </w:r>
      <w:r w:rsidR="00022677" w:rsidRPr="00130C7A">
        <w:rPr>
          <w:lang w:val="fr-FR"/>
        </w:rPr>
        <w:t xml:space="preserve"> tout de même participé à l</w:t>
      </w:r>
      <w:r w:rsidR="00130C7A" w:rsidRPr="00130C7A">
        <w:rPr>
          <w:lang w:val="fr-FR"/>
        </w:rPr>
        <w:t>’</w:t>
      </w:r>
      <w:r w:rsidR="00022677" w:rsidRPr="00130C7A">
        <w:rPr>
          <w:lang w:val="fr-FR"/>
        </w:rPr>
        <w:t>en</w:t>
      </w:r>
      <w:r w:rsidR="00512132" w:rsidRPr="00130C7A">
        <w:rPr>
          <w:lang w:val="fr-FR"/>
        </w:rPr>
        <w:t>quête et utilisé activement tou</w:t>
      </w:r>
      <w:r w:rsidR="00022677" w:rsidRPr="00130C7A">
        <w:rPr>
          <w:lang w:val="fr-FR"/>
        </w:rPr>
        <w:t xml:space="preserve">s </w:t>
      </w:r>
      <w:r w:rsidR="0024561B" w:rsidRPr="00130C7A">
        <w:rPr>
          <w:lang w:val="fr-FR"/>
        </w:rPr>
        <w:t>les</w:t>
      </w:r>
      <w:r w:rsidR="00022677" w:rsidRPr="00130C7A">
        <w:rPr>
          <w:lang w:val="fr-FR"/>
        </w:rPr>
        <w:t xml:space="preserve"> </w:t>
      </w:r>
      <w:r w:rsidR="00512132" w:rsidRPr="00130C7A">
        <w:rPr>
          <w:lang w:val="fr-FR"/>
        </w:rPr>
        <w:t>pouvoirs</w:t>
      </w:r>
      <w:r w:rsidR="00022677" w:rsidRPr="00130C7A">
        <w:rPr>
          <w:lang w:val="fr-FR"/>
        </w:rPr>
        <w:t xml:space="preserve"> </w:t>
      </w:r>
      <w:r w:rsidR="004F43D2" w:rsidRPr="00130C7A">
        <w:rPr>
          <w:lang w:val="fr-FR"/>
        </w:rPr>
        <w:t>qu</w:t>
      </w:r>
      <w:r w:rsidR="002552D9" w:rsidRPr="00130C7A">
        <w:rPr>
          <w:lang w:val="fr-FR"/>
        </w:rPr>
        <w:t>i</w:t>
      </w:r>
      <w:r w:rsidR="004F43D2" w:rsidRPr="00130C7A">
        <w:rPr>
          <w:lang w:val="fr-FR"/>
        </w:rPr>
        <w:t xml:space="preserve"> </w:t>
      </w:r>
      <w:r w:rsidR="00C92826" w:rsidRPr="00130C7A">
        <w:rPr>
          <w:lang w:val="fr-FR"/>
        </w:rPr>
        <w:t>lui</w:t>
      </w:r>
      <w:r w:rsidR="00512132" w:rsidRPr="00130C7A">
        <w:rPr>
          <w:lang w:val="fr-FR"/>
        </w:rPr>
        <w:t xml:space="preserve"> étaient offert</w:t>
      </w:r>
      <w:r w:rsidR="004F43D2" w:rsidRPr="00130C7A">
        <w:rPr>
          <w:lang w:val="fr-FR"/>
        </w:rPr>
        <w:t xml:space="preserve">s </w:t>
      </w:r>
      <w:r w:rsidR="00022677" w:rsidRPr="00130C7A">
        <w:rPr>
          <w:lang w:val="fr-FR"/>
        </w:rPr>
        <w:t>en tant que partie lésée.</w:t>
      </w:r>
    </w:p>
    <w:p w:rsidR="00961ED8" w:rsidRPr="00130C7A" w:rsidRDefault="005476F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48</w:t>
      </w:r>
      <w:r w:rsidRPr="00130C7A">
        <w:rPr>
          <w:lang w:val="fr-FR"/>
        </w:rPr>
        <w:fldChar w:fldCharType="end"/>
      </w:r>
      <w:r w:rsidRPr="00130C7A">
        <w:rPr>
          <w:lang w:val="fr-FR"/>
        </w:rPr>
        <w:t>.  </w:t>
      </w:r>
      <w:r w:rsidR="00840FE2" w:rsidRPr="00130C7A">
        <w:rPr>
          <w:lang w:val="fr-FR"/>
        </w:rPr>
        <w:t>Enfin, le requérant considère que le Gouvernement n</w:t>
      </w:r>
      <w:r w:rsidR="00130C7A" w:rsidRPr="00130C7A">
        <w:rPr>
          <w:lang w:val="fr-FR"/>
        </w:rPr>
        <w:t>’</w:t>
      </w:r>
      <w:r w:rsidR="00840FE2" w:rsidRPr="00130C7A">
        <w:rPr>
          <w:lang w:val="fr-FR"/>
        </w:rPr>
        <w:t xml:space="preserve">a pas </w:t>
      </w:r>
      <w:r w:rsidR="00B75DA0" w:rsidRPr="00130C7A">
        <w:rPr>
          <w:lang w:val="fr-FR"/>
        </w:rPr>
        <w:t xml:space="preserve">suffisamment </w:t>
      </w:r>
      <w:r w:rsidR="00840FE2" w:rsidRPr="00130C7A">
        <w:rPr>
          <w:lang w:val="fr-FR"/>
        </w:rPr>
        <w:t>prouvé qu</w:t>
      </w:r>
      <w:r w:rsidR="00130C7A" w:rsidRPr="00130C7A">
        <w:rPr>
          <w:lang w:val="fr-FR"/>
        </w:rPr>
        <w:t>’</w:t>
      </w:r>
      <w:r w:rsidR="00840FE2" w:rsidRPr="00130C7A">
        <w:rPr>
          <w:lang w:val="fr-FR"/>
        </w:rPr>
        <w:t>un recours en dommage-intérêts aurait été eff</w:t>
      </w:r>
      <w:r w:rsidR="005B4FA4" w:rsidRPr="00130C7A">
        <w:rPr>
          <w:lang w:val="fr-FR"/>
        </w:rPr>
        <w:t>ectif</w:t>
      </w:r>
      <w:r w:rsidR="00840FE2" w:rsidRPr="00130C7A">
        <w:rPr>
          <w:lang w:val="fr-FR"/>
        </w:rPr>
        <w:t xml:space="preserve"> dans son cas, </w:t>
      </w:r>
      <w:r w:rsidR="00EB2C4E" w:rsidRPr="00130C7A">
        <w:rPr>
          <w:lang w:val="fr-FR"/>
        </w:rPr>
        <w:t xml:space="preserve">puisque, selon lui, </w:t>
      </w:r>
      <w:r w:rsidR="00840FE2" w:rsidRPr="00130C7A">
        <w:rPr>
          <w:lang w:val="fr-FR"/>
        </w:rPr>
        <w:t xml:space="preserve">les </w:t>
      </w:r>
      <w:r w:rsidR="00EB2C4E" w:rsidRPr="00130C7A">
        <w:rPr>
          <w:lang w:val="fr-FR"/>
        </w:rPr>
        <w:t xml:space="preserve">deux </w:t>
      </w:r>
      <w:r w:rsidR="00C173B6" w:rsidRPr="00130C7A">
        <w:rPr>
          <w:lang w:val="fr-FR"/>
        </w:rPr>
        <w:t>seul</w:t>
      </w:r>
      <w:r w:rsidR="00EB2C4E" w:rsidRPr="00130C7A">
        <w:rPr>
          <w:lang w:val="fr-FR"/>
        </w:rPr>
        <w:t>es décisions citées à titre d</w:t>
      </w:r>
      <w:r w:rsidR="00130C7A" w:rsidRPr="00130C7A">
        <w:rPr>
          <w:lang w:val="fr-FR"/>
        </w:rPr>
        <w:t>’</w:t>
      </w:r>
      <w:r w:rsidR="00EB2C4E" w:rsidRPr="00130C7A">
        <w:rPr>
          <w:lang w:val="fr-FR"/>
        </w:rPr>
        <w:t>exemple</w:t>
      </w:r>
      <w:r w:rsidR="002E2AC4" w:rsidRPr="00130C7A">
        <w:rPr>
          <w:lang w:val="fr-FR"/>
        </w:rPr>
        <w:t>s</w:t>
      </w:r>
      <w:r w:rsidR="00EB2C4E" w:rsidRPr="00130C7A">
        <w:rPr>
          <w:lang w:val="fr-FR"/>
        </w:rPr>
        <w:t xml:space="preserve"> par le gouvernement défendeur</w:t>
      </w:r>
      <w:r w:rsidR="00840FE2" w:rsidRPr="00130C7A">
        <w:rPr>
          <w:lang w:val="fr-FR"/>
        </w:rPr>
        <w:t xml:space="preserve"> </w:t>
      </w:r>
      <w:r w:rsidR="00EB2C4E" w:rsidRPr="00130C7A">
        <w:rPr>
          <w:lang w:val="fr-FR"/>
        </w:rPr>
        <w:t>sont</w:t>
      </w:r>
      <w:r w:rsidR="00840FE2" w:rsidRPr="00130C7A">
        <w:rPr>
          <w:lang w:val="fr-FR"/>
        </w:rPr>
        <w:t xml:space="preserve"> très éloigné</w:t>
      </w:r>
      <w:r w:rsidR="00EB2C4E" w:rsidRPr="00130C7A">
        <w:rPr>
          <w:lang w:val="fr-FR"/>
        </w:rPr>
        <w:t>e</w:t>
      </w:r>
      <w:r w:rsidR="00840FE2" w:rsidRPr="00130C7A">
        <w:rPr>
          <w:lang w:val="fr-FR"/>
        </w:rPr>
        <w:t xml:space="preserve">s dans le temps et </w:t>
      </w:r>
      <w:r w:rsidR="00EB2C4E" w:rsidRPr="00130C7A">
        <w:rPr>
          <w:lang w:val="fr-FR"/>
        </w:rPr>
        <w:t>ont</w:t>
      </w:r>
      <w:r w:rsidR="00840FE2" w:rsidRPr="00130C7A">
        <w:rPr>
          <w:lang w:val="fr-FR"/>
        </w:rPr>
        <w:t xml:space="preserve"> été prononcé</w:t>
      </w:r>
      <w:r w:rsidR="00EB2C4E" w:rsidRPr="00130C7A">
        <w:rPr>
          <w:lang w:val="fr-FR"/>
        </w:rPr>
        <w:t>e</w:t>
      </w:r>
      <w:r w:rsidR="00840FE2" w:rsidRPr="00130C7A">
        <w:rPr>
          <w:lang w:val="fr-FR"/>
        </w:rPr>
        <w:t xml:space="preserve">s par </w:t>
      </w:r>
      <w:r w:rsidR="00512132" w:rsidRPr="00130C7A">
        <w:rPr>
          <w:lang w:val="fr-FR"/>
        </w:rPr>
        <w:t xml:space="preserve">le tribunal </w:t>
      </w:r>
      <w:r w:rsidR="00EB2C4E" w:rsidRPr="00130C7A">
        <w:rPr>
          <w:lang w:val="fr-FR"/>
        </w:rPr>
        <w:t xml:space="preserve">de Milan </w:t>
      </w:r>
      <w:r w:rsidR="00512132" w:rsidRPr="00130C7A">
        <w:rPr>
          <w:lang w:val="fr-FR"/>
        </w:rPr>
        <w:t>e</w:t>
      </w:r>
      <w:r w:rsidR="00CC0E42" w:rsidRPr="00130C7A">
        <w:rPr>
          <w:lang w:val="fr-FR"/>
        </w:rPr>
        <w:t xml:space="preserve">t </w:t>
      </w:r>
      <w:r w:rsidR="00EB2C4E" w:rsidRPr="00130C7A">
        <w:rPr>
          <w:lang w:val="fr-FR"/>
        </w:rPr>
        <w:t xml:space="preserve">par </w:t>
      </w:r>
      <w:r w:rsidR="00CC0E42" w:rsidRPr="00130C7A">
        <w:rPr>
          <w:lang w:val="fr-FR"/>
        </w:rPr>
        <w:t>la</w:t>
      </w:r>
      <w:r w:rsidR="00512132" w:rsidRPr="00130C7A">
        <w:rPr>
          <w:lang w:val="fr-FR"/>
        </w:rPr>
        <w:t xml:space="preserve"> </w:t>
      </w:r>
      <w:r w:rsidR="00EB2C4E" w:rsidRPr="00130C7A">
        <w:rPr>
          <w:lang w:val="fr-FR"/>
        </w:rPr>
        <w:t>c</w:t>
      </w:r>
      <w:r w:rsidR="00512132" w:rsidRPr="00130C7A">
        <w:rPr>
          <w:lang w:val="fr-FR"/>
        </w:rPr>
        <w:t>our d</w:t>
      </w:r>
      <w:r w:rsidR="00130C7A" w:rsidRPr="00130C7A">
        <w:rPr>
          <w:lang w:val="fr-FR"/>
        </w:rPr>
        <w:t>’</w:t>
      </w:r>
      <w:r w:rsidR="00512132" w:rsidRPr="00130C7A">
        <w:rPr>
          <w:lang w:val="fr-FR"/>
        </w:rPr>
        <w:t>appel</w:t>
      </w:r>
      <w:r w:rsidR="00840FE2" w:rsidRPr="00130C7A">
        <w:rPr>
          <w:lang w:val="fr-FR"/>
        </w:rPr>
        <w:t xml:space="preserve"> de </w:t>
      </w:r>
      <w:r w:rsidR="00EB2C4E" w:rsidRPr="00130C7A">
        <w:rPr>
          <w:lang w:val="fr-FR"/>
        </w:rPr>
        <w:t>la même ville</w:t>
      </w:r>
      <w:r w:rsidR="00840FE2" w:rsidRPr="00130C7A">
        <w:rPr>
          <w:lang w:val="fr-FR"/>
        </w:rPr>
        <w:t xml:space="preserve">, soit </w:t>
      </w:r>
      <w:r w:rsidR="006F4BB5" w:rsidRPr="00130C7A">
        <w:rPr>
          <w:lang w:val="fr-FR"/>
        </w:rPr>
        <w:t xml:space="preserve">seulement </w:t>
      </w:r>
      <w:r w:rsidR="00840FE2" w:rsidRPr="00130C7A">
        <w:rPr>
          <w:lang w:val="fr-FR"/>
        </w:rPr>
        <w:t>l</w:t>
      </w:r>
      <w:r w:rsidR="00130C7A" w:rsidRPr="00130C7A">
        <w:rPr>
          <w:lang w:val="fr-FR"/>
        </w:rPr>
        <w:t>’</w:t>
      </w:r>
      <w:r w:rsidR="00840FE2" w:rsidRPr="00130C7A">
        <w:rPr>
          <w:lang w:val="fr-FR"/>
        </w:rPr>
        <w:t>une des vingt-</w:t>
      </w:r>
      <w:r w:rsidR="00056A2F" w:rsidRPr="00130C7A">
        <w:rPr>
          <w:lang w:val="fr-FR"/>
        </w:rPr>
        <w:t>six cours d</w:t>
      </w:r>
      <w:r w:rsidR="00130C7A" w:rsidRPr="00130C7A">
        <w:rPr>
          <w:lang w:val="fr-FR"/>
        </w:rPr>
        <w:t>’</w:t>
      </w:r>
      <w:r w:rsidR="00056A2F" w:rsidRPr="00130C7A">
        <w:rPr>
          <w:lang w:val="fr-FR"/>
        </w:rPr>
        <w:t xml:space="preserve">appel italiennes. De </w:t>
      </w:r>
      <w:r w:rsidR="00056A2F" w:rsidRPr="00130C7A">
        <w:rPr>
          <w:lang w:val="fr-FR"/>
        </w:rPr>
        <w:lastRenderedPageBreak/>
        <w:t xml:space="preserve">plus, </w:t>
      </w:r>
      <w:r w:rsidRPr="00130C7A">
        <w:rPr>
          <w:lang w:val="fr-FR"/>
        </w:rPr>
        <w:t xml:space="preserve">il </w:t>
      </w:r>
      <w:r w:rsidR="00EB2C4E" w:rsidRPr="00130C7A">
        <w:rPr>
          <w:lang w:val="fr-FR"/>
        </w:rPr>
        <w:t>argue</w:t>
      </w:r>
      <w:r w:rsidRPr="00130C7A">
        <w:rPr>
          <w:lang w:val="fr-FR"/>
        </w:rPr>
        <w:t xml:space="preserve"> que </w:t>
      </w:r>
      <w:r w:rsidR="00056A2F" w:rsidRPr="00130C7A">
        <w:rPr>
          <w:lang w:val="fr-FR"/>
        </w:rPr>
        <w:t>la prescription de l</w:t>
      </w:r>
      <w:r w:rsidR="00130C7A" w:rsidRPr="00130C7A">
        <w:rPr>
          <w:lang w:val="fr-FR"/>
        </w:rPr>
        <w:t>’</w:t>
      </w:r>
      <w:r w:rsidR="00056A2F" w:rsidRPr="00130C7A">
        <w:rPr>
          <w:lang w:val="fr-FR"/>
        </w:rPr>
        <w:t xml:space="preserve">action pénale </w:t>
      </w:r>
      <w:r w:rsidR="00EB2C4E" w:rsidRPr="00130C7A">
        <w:rPr>
          <w:lang w:val="fr-FR"/>
        </w:rPr>
        <w:t>a</w:t>
      </w:r>
      <w:r w:rsidR="00056A2F" w:rsidRPr="00130C7A">
        <w:rPr>
          <w:lang w:val="fr-FR"/>
        </w:rPr>
        <w:t xml:space="preserve"> déterminé également la prescription de l</w:t>
      </w:r>
      <w:r w:rsidR="00130C7A" w:rsidRPr="00130C7A">
        <w:rPr>
          <w:lang w:val="fr-FR"/>
        </w:rPr>
        <w:t>’</w:t>
      </w:r>
      <w:r w:rsidR="00056A2F" w:rsidRPr="00130C7A">
        <w:rPr>
          <w:lang w:val="fr-FR"/>
        </w:rPr>
        <w:t xml:space="preserve">action civile, dès lors </w:t>
      </w:r>
      <w:r w:rsidRPr="00130C7A">
        <w:rPr>
          <w:lang w:val="fr-FR"/>
        </w:rPr>
        <w:t>qu</w:t>
      </w:r>
      <w:r w:rsidR="00130C7A" w:rsidRPr="00130C7A">
        <w:rPr>
          <w:lang w:val="fr-FR"/>
        </w:rPr>
        <w:t>’</w:t>
      </w:r>
      <w:r w:rsidRPr="00130C7A">
        <w:rPr>
          <w:lang w:val="fr-FR"/>
        </w:rPr>
        <w:t xml:space="preserve">il </w:t>
      </w:r>
      <w:r w:rsidR="00EB2C4E" w:rsidRPr="00130C7A">
        <w:rPr>
          <w:lang w:val="fr-FR"/>
        </w:rPr>
        <w:t xml:space="preserve">lui </w:t>
      </w:r>
      <w:r w:rsidRPr="00130C7A">
        <w:rPr>
          <w:lang w:val="fr-FR"/>
        </w:rPr>
        <w:t>aurait été impossible de saisir le juge civil une fois la procédure pénale</w:t>
      </w:r>
      <w:r w:rsidR="00512132" w:rsidRPr="00130C7A">
        <w:rPr>
          <w:lang w:val="fr-FR"/>
        </w:rPr>
        <w:t xml:space="preserve"> </w:t>
      </w:r>
      <w:r w:rsidR="00CC0E42" w:rsidRPr="00130C7A">
        <w:rPr>
          <w:lang w:val="fr-FR"/>
        </w:rPr>
        <w:t xml:space="preserve">ayant été </w:t>
      </w:r>
      <w:r w:rsidR="00512132" w:rsidRPr="00130C7A">
        <w:rPr>
          <w:lang w:val="fr-FR"/>
        </w:rPr>
        <w:t>classée sans suite</w:t>
      </w:r>
      <w:r w:rsidR="00056A2F" w:rsidRPr="00130C7A">
        <w:rPr>
          <w:lang w:val="fr-FR"/>
        </w:rPr>
        <w:t>.</w:t>
      </w:r>
    </w:p>
    <w:p w:rsidR="00AB2DEE" w:rsidRPr="00130C7A" w:rsidRDefault="0093196E" w:rsidP="00130C7A">
      <w:pPr>
        <w:pStyle w:val="ECHRPara"/>
        <w:rPr>
          <w:i/>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49</w:t>
      </w:r>
      <w:r w:rsidRPr="00130C7A">
        <w:rPr>
          <w:lang w:val="fr-FR"/>
        </w:rPr>
        <w:fldChar w:fldCharType="end"/>
      </w:r>
      <w:r w:rsidRPr="00130C7A">
        <w:rPr>
          <w:lang w:val="fr-FR"/>
        </w:rPr>
        <w:t>.  </w:t>
      </w:r>
      <w:r w:rsidR="00DE5E14" w:rsidRPr="00130C7A">
        <w:rPr>
          <w:lang w:val="fr-FR"/>
        </w:rPr>
        <w:t>D</w:t>
      </w:r>
      <w:r w:rsidR="00130C7A" w:rsidRPr="00130C7A">
        <w:rPr>
          <w:lang w:val="fr-FR"/>
        </w:rPr>
        <w:t>’</w:t>
      </w:r>
      <w:r w:rsidR="00DE5E14" w:rsidRPr="00130C7A">
        <w:rPr>
          <w:lang w:val="fr-FR"/>
        </w:rPr>
        <w:t xml:space="preserve">emblée, la Cour </w:t>
      </w:r>
      <w:r w:rsidR="00AB2DEE" w:rsidRPr="00130C7A">
        <w:rPr>
          <w:lang w:val="fr-FR"/>
        </w:rPr>
        <w:t>rappelle</w:t>
      </w:r>
      <w:r w:rsidR="00DE5E14" w:rsidRPr="00130C7A">
        <w:rPr>
          <w:lang w:val="fr-FR"/>
        </w:rPr>
        <w:t xml:space="preserve"> que, pour déterminer si une procédure interne constitue, aux fins de l</w:t>
      </w:r>
      <w:r w:rsidR="00130C7A" w:rsidRPr="00130C7A">
        <w:rPr>
          <w:lang w:val="fr-FR"/>
        </w:rPr>
        <w:t>’</w:t>
      </w:r>
      <w:r w:rsidR="00DE5E14" w:rsidRPr="00130C7A">
        <w:rPr>
          <w:lang w:val="fr-FR"/>
        </w:rPr>
        <w:t>article 35 §</w:t>
      </w:r>
      <w:r w:rsidR="00AB2DEE" w:rsidRPr="00130C7A">
        <w:rPr>
          <w:lang w:val="fr-FR"/>
        </w:rPr>
        <w:t xml:space="preserve"> 1</w:t>
      </w:r>
      <w:r w:rsidR="00EB2C4E" w:rsidRPr="00130C7A">
        <w:rPr>
          <w:lang w:val="fr-FR"/>
        </w:rPr>
        <w:t xml:space="preserve"> de la Convention</w:t>
      </w:r>
      <w:r w:rsidR="00AB2DEE" w:rsidRPr="00130C7A">
        <w:rPr>
          <w:lang w:val="fr-FR"/>
        </w:rPr>
        <w:t>, un recours effectif que les requérants</w:t>
      </w:r>
      <w:r w:rsidR="00DE5E14" w:rsidRPr="00130C7A">
        <w:rPr>
          <w:lang w:val="fr-FR"/>
        </w:rPr>
        <w:t xml:space="preserve"> doivent exercer, il faut prendre en considération un certain nombre de facteurs, parmi lesquels le grief du requérant, la portée des obligations que fait peser sur l</w:t>
      </w:r>
      <w:r w:rsidR="00130C7A" w:rsidRPr="00130C7A">
        <w:rPr>
          <w:lang w:val="fr-FR"/>
        </w:rPr>
        <w:t>’</w:t>
      </w:r>
      <w:r w:rsidR="00DE5E14" w:rsidRPr="00130C7A">
        <w:rPr>
          <w:lang w:val="fr-FR"/>
        </w:rPr>
        <w:t>État la disposition de la Convention en cause, les recours disponibles dans l</w:t>
      </w:r>
      <w:r w:rsidR="00130C7A" w:rsidRPr="00130C7A">
        <w:rPr>
          <w:lang w:val="fr-FR"/>
        </w:rPr>
        <w:t>’</w:t>
      </w:r>
      <w:r w:rsidR="00DE5E14" w:rsidRPr="00130C7A">
        <w:rPr>
          <w:lang w:val="fr-FR"/>
        </w:rPr>
        <w:t>État défendeur et les circonstances particulières de l</w:t>
      </w:r>
      <w:r w:rsidR="00130C7A" w:rsidRPr="00130C7A">
        <w:rPr>
          <w:lang w:val="fr-FR"/>
        </w:rPr>
        <w:t>’</w:t>
      </w:r>
      <w:r w:rsidR="00DE5E14" w:rsidRPr="00130C7A">
        <w:rPr>
          <w:lang w:val="fr-FR"/>
        </w:rPr>
        <w:t>affaire</w:t>
      </w:r>
      <w:r w:rsidR="00AB2DEE" w:rsidRPr="00130C7A">
        <w:rPr>
          <w:lang w:val="fr-FR"/>
        </w:rPr>
        <w:t xml:space="preserve"> (</w:t>
      </w:r>
      <w:r w:rsidR="00AB2DEE" w:rsidRPr="00130C7A">
        <w:rPr>
          <w:i/>
          <w:lang w:val="fr-FR"/>
        </w:rPr>
        <w:t>Lopes de Sousa Fernandes c. Portugal</w:t>
      </w:r>
      <w:r w:rsidR="00AB2DEE" w:rsidRPr="00130C7A">
        <w:rPr>
          <w:lang w:val="fr-FR"/>
        </w:rPr>
        <w:t xml:space="preserve"> [GC], n</w:t>
      </w:r>
      <w:r w:rsidR="001E0028" w:rsidRPr="00130C7A">
        <w:rPr>
          <w:vertAlign w:val="superscript"/>
          <w:lang w:val="fr-FR"/>
        </w:rPr>
        <w:t>o</w:t>
      </w:r>
      <w:r w:rsidR="00AB2DEE" w:rsidRPr="00130C7A">
        <w:rPr>
          <w:lang w:val="fr-FR"/>
        </w:rPr>
        <w:t> 56080/13, § 134, 19 décembre 2017)</w:t>
      </w:r>
      <w:r w:rsidR="00DE5E14" w:rsidRPr="00130C7A">
        <w:rPr>
          <w:lang w:val="fr-FR"/>
        </w:rPr>
        <w:t>.</w:t>
      </w:r>
      <w:r w:rsidR="00AB2DEE" w:rsidRPr="00130C7A">
        <w:rPr>
          <w:i/>
          <w:iCs/>
          <w:lang w:val="fr-FR"/>
        </w:rPr>
        <w:t xml:space="preserve"> </w:t>
      </w:r>
      <w:r w:rsidR="00AB2DEE" w:rsidRPr="00130C7A">
        <w:rPr>
          <w:lang w:val="fr-FR"/>
        </w:rPr>
        <w:t>Si un requérant a utilisé une voie de droit apparemment effective et suffisante</w:t>
      </w:r>
      <w:r w:rsidR="008D32C0" w:rsidRPr="00130C7A">
        <w:rPr>
          <w:lang w:val="fr-FR"/>
        </w:rPr>
        <w:t>, il</w:t>
      </w:r>
      <w:r w:rsidR="00AB2DEE" w:rsidRPr="00130C7A">
        <w:rPr>
          <w:lang w:val="fr-FR"/>
        </w:rPr>
        <w:t xml:space="preserve"> ne peut se voir reprocher de ne pas avoir essayé d</w:t>
      </w:r>
      <w:r w:rsidR="00130C7A" w:rsidRPr="00130C7A">
        <w:rPr>
          <w:lang w:val="fr-FR"/>
        </w:rPr>
        <w:t>’</w:t>
      </w:r>
      <w:r w:rsidR="00AB2DEE" w:rsidRPr="00130C7A">
        <w:rPr>
          <w:lang w:val="fr-FR"/>
        </w:rPr>
        <w:t xml:space="preserve">en utiliser </w:t>
      </w:r>
      <w:r w:rsidR="00613D8E" w:rsidRPr="00130C7A">
        <w:rPr>
          <w:lang w:val="fr-FR"/>
        </w:rPr>
        <w:t xml:space="preserve">une </w:t>
      </w:r>
      <w:r w:rsidR="00AB2DEE" w:rsidRPr="00130C7A">
        <w:rPr>
          <w:lang w:val="fr-FR"/>
        </w:rPr>
        <w:t>autre qui était disponible mais dont le but était pratiquement le même (voir, parmi d</w:t>
      </w:r>
      <w:r w:rsidR="00130C7A" w:rsidRPr="00130C7A">
        <w:rPr>
          <w:lang w:val="fr-FR"/>
        </w:rPr>
        <w:t>’</w:t>
      </w:r>
      <w:r w:rsidR="00AB2DEE" w:rsidRPr="00130C7A">
        <w:rPr>
          <w:lang w:val="fr-FR"/>
        </w:rPr>
        <w:t xml:space="preserve">autres, </w:t>
      </w:r>
      <w:proofErr w:type="spellStart"/>
      <w:r w:rsidR="00CD14E7" w:rsidRPr="00130C7A">
        <w:rPr>
          <w:i/>
          <w:lang w:val="fr-FR"/>
        </w:rPr>
        <w:t>O</w:t>
      </w:r>
      <w:r w:rsidR="00130C7A" w:rsidRPr="00130C7A">
        <w:rPr>
          <w:i/>
          <w:lang w:val="fr-FR"/>
        </w:rPr>
        <w:t>’</w:t>
      </w:r>
      <w:r w:rsidR="00CD14E7" w:rsidRPr="00130C7A">
        <w:rPr>
          <w:i/>
          <w:lang w:val="fr-FR"/>
        </w:rPr>
        <w:t>Keeffe</w:t>
      </w:r>
      <w:proofErr w:type="spellEnd"/>
      <w:r w:rsidR="00CD14E7" w:rsidRPr="00130C7A">
        <w:rPr>
          <w:i/>
          <w:lang w:val="fr-FR"/>
        </w:rPr>
        <w:t xml:space="preserve"> c.</w:t>
      </w:r>
      <w:r w:rsidR="00AD619D" w:rsidRPr="00130C7A">
        <w:rPr>
          <w:i/>
          <w:lang w:val="fr-FR"/>
        </w:rPr>
        <w:t> </w:t>
      </w:r>
      <w:r w:rsidR="00CD14E7" w:rsidRPr="00130C7A">
        <w:rPr>
          <w:i/>
          <w:lang w:val="fr-FR"/>
        </w:rPr>
        <w:t>Irlande</w:t>
      </w:r>
      <w:r w:rsidR="00CD14E7" w:rsidRPr="00130C7A">
        <w:rPr>
          <w:lang w:val="fr-FR"/>
        </w:rPr>
        <w:t xml:space="preserve"> [GC]</w:t>
      </w:r>
      <w:r w:rsidR="00CD14E7" w:rsidRPr="00130C7A">
        <w:rPr>
          <w:snapToGrid w:val="0"/>
          <w:lang w:val="fr-FR"/>
        </w:rPr>
        <w:t>, n</w:t>
      </w:r>
      <w:r w:rsidR="00CD14E7" w:rsidRPr="00130C7A">
        <w:rPr>
          <w:snapToGrid w:val="0"/>
          <w:vertAlign w:val="superscript"/>
          <w:lang w:val="fr-FR"/>
        </w:rPr>
        <w:t>o</w:t>
      </w:r>
      <w:r w:rsidR="00CD14E7" w:rsidRPr="00130C7A">
        <w:rPr>
          <w:snapToGrid w:val="0"/>
          <w:lang w:val="fr-FR"/>
        </w:rPr>
        <w:t xml:space="preserve"> </w:t>
      </w:r>
      <w:r w:rsidR="00CD14E7" w:rsidRPr="00130C7A">
        <w:rPr>
          <w:lang w:val="fr-FR"/>
        </w:rPr>
        <w:t>35810/09</w:t>
      </w:r>
      <w:r w:rsidR="00CD14E7" w:rsidRPr="00130C7A">
        <w:rPr>
          <w:snapToGrid w:val="0"/>
          <w:lang w:val="fr-FR"/>
        </w:rPr>
        <w:t>, § 109, CEDH 2014 (extraits)</w:t>
      </w:r>
      <w:r w:rsidR="009A35A9" w:rsidRPr="00130C7A">
        <w:rPr>
          <w:lang w:val="fr-FR"/>
        </w:rPr>
        <w:t>).</w:t>
      </w:r>
    </w:p>
    <w:p w:rsidR="00F4730E" w:rsidRPr="00130C7A" w:rsidRDefault="009A35A9" w:rsidP="00130C7A">
      <w:pPr>
        <w:pStyle w:val="ECHRPara"/>
        <w:rPr>
          <w:i/>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50</w:t>
      </w:r>
      <w:r w:rsidRPr="00130C7A">
        <w:rPr>
          <w:lang w:val="fr-FR"/>
        </w:rPr>
        <w:fldChar w:fldCharType="end"/>
      </w:r>
      <w:r w:rsidRPr="00130C7A">
        <w:rPr>
          <w:lang w:val="fr-FR"/>
        </w:rPr>
        <w:t>.  </w:t>
      </w:r>
      <w:r w:rsidR="00816D4B" w:rsidRPr="00130C7A">
        <w:rPr>
          <w:lang w:val="fr-FR"/>
        </w:rPr>
        <w:t>La Cour rappelle</w:t>
      </w:r>
      <w:r w:rsidR="0055089F" w:rsidRPr="00130C7A">
        <w:rPr>
          <w:lang w:val="fr-FR"/>
        </w:rPr>
        <w:t xml:space="preserve"> aussi</w:t>
      </w:r>
      <w:r w:rsidR="00816D4B" w:rsidRPr="00130C7A">
        <w:rPr>
          <w:lang w:val="fr-FR"/>
        </w:rPr>
        <w:t xml:space="preserve"> que – même si la Convention ne garantit pas en soi un droit à l</w:t>
      </w:r>
      <w:r w:rsidR="00130C7A" w:rsidRPr="00130C7A">
        <w:rPr>
          <w:lang w:val="fr-FR"/>
        </w:rPr>
        <w:t>’</w:t>
      </w:r>
      <w:r w:rsidR="00816D4B" w:rsidRPr="00130C7A">
        <w:rPr>
          <w:lang w:val="fr-FR"/>
        </w:rPr>
        <w:t>ouverture de poursuites pénales contre des tiers – dans certaines circonstances exceptionnelles il peut être nécessaire aux fins de l</w:t>
      </w:r>
      <w:r w:rsidR="00130C7A" w:rsidRPr="00130C7A">
        <w:rPr>
          <w:lang w:val="fr-FR"/>
        </w:rPr>
        <w:t>’</w:t>
      </w:r>
      <w:r w:rsidR="00816D4B" w:rsidRPr="00130C7A">
        <w:rPr>
          <w:lang w:val="fr-FR"/>
        </w:rPr>
        <w:t>article 2 qu</w:t>
      </w:r>
      <w:r w:rsidR="00130C7A" w:rsidRPr="00130C7A">
        <w:rPr>
          <w:lang w:val="fr-FR"/>
        </w:rPr>
        <w:t>’</w:t>
      </w:r>
      <w:r w:rsidR="00816D4B" w:rsidRPr="00130C7A">
        <w:rPr>
          <w:lang w:val="fr-FR"/>
        </w:rPr>
        <w:t>une enquête pénale effective soit menée, même en cas d</w:t>
      </w:r>
      <w:r w:rsidR="00130C7A" w:rsidRPr="00130C7A">
        <w:rPr>
          <w:lang w:val="fr-FR"/>
        </w:rPr>
        <w:t>’</w:t>
      </w:r>
      <w:r w:rsidR="00816D4B" w:rsidRPr="00130C7A">
        <w:rPr>
          <w:lang w:val="fr-FR"/>
        </w:rPr>
        <w:t>atteinte involontaire au droit à la vie ou à l</w:t>
      </w:r>
      <w:r w:rsidR="00130C7A" w:rsidRPr="00130C7A">
        <w:rPr>
          <w:lang w:val="fr-FR"/>
        </w:rPr>
        <w:t>’</w:t>
      </w:r>
      <w:r w:rsidR="00816D4B" w:rsidRPr="00130C7A">
        <w:rPr>
          <w:lang w:val="fr-FR"/>
        </w:rPr>
        <w:t>intégrité physique (</w:t>
      </w:r>
      <w:r w:rsidR="003938CF" w:rsidRPr="00130C7A">
        <w:rPr>
          <w:i/>
          <w:lang w:val="fr-FR"/>
        </w:rPr>
        <w:t>Nicolae </w:t>
      </w:r>
      <w:proofErr w:type="spellStart"/>
      <w:r w:rsidR="0052778E" w:rsidRPr="00130C7A">
        <w:rPr>
          <w:i/>
          <w:lang w:val="fr-FR"/>
        </w:rPr>
        <w:t>Virgiliu</w:t>
      </w:r>
      <w:proofErr w:type="spellEnd"/>
      <w:r w:rsidR="0052778E" w:rsidRPr="00130C7A">
        <w:rPr>
          <w:i/>
          <w:lang w:val="fr-FR"/>
        </w:rPr>
        <w:t xml:space="preserve"> </w:t>
      </w:r>
      <w:proofErr w:type="spellStart"/>
      <w:r w:rsidR="0052778E" w:rsidRPr="00130C7A">
        <w:rPr>
          <w:i/>
          <w:lang w:val="fr-FR"/>
        </w:rPr>
        <w:t>Tănase</w:t>
      </w:r>
      <w:proofErr w:type="spellEnd"/>
      <w:r w:rsidR="0052778E" w:rsidRPr="00130C7A">
        <w:rPr>
          <w:i/>
          <w:lang w:val="fr-FR"/>
        </w:rPr>
        <w:t xml:space="preserve"> c. Roumanie</w:t>
      </w:r>
      <w:r w:rsidR="0052778E" w:rsidRPr="00130C7A">
        <w:rPr>
          <w:lang w:val="fr-FR"/>
        </w:rPr>
        <w:t xml:space="preserve"> [GC], n</w:t>
      </w:r>
      <w:r w:rsidR="0052778E" w:rsidRPr="00130C7A">
        <w:rPr>
          <w:vertAlign w:val="superscript"/>
          <w:lang w:val="fr-FR"/>
        </w:rPr>
        <w:t>o</w:t>
      </w:r>
      <w:r w:rsidR="0052778E" w:rsidRPr="00130C7A">
        <w:rPr>
          <w:lang w:val="fr-FR"/>
        </w:rPr>
        <w:t xml:space="preserve"> 41720/13, § 160, 25 juin 2019)</w:t>
      </w:r>
      <w:r w:rsidR="00816D4B" w:rsidRPr="00130C7A">
        <w:rPr>
          <w:lang w:val="fr-FR"/>
        </w:rPr>
        <w:t>.</w:t>
      </w:r>
    </w:p>
    <w:p w:rsidR="00AA51AF" w:rsidRPr="00130C7A" w:rsidRDefault="00FF2492"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51</w:t>
      </w:r>
      <w:r w:rsidRPr="00130C7A">
        <w:rPr>
          <w:lang w:val="fr-FR"/>
        </w:rPr>
        <w:fldChar w:fldCharType="end"/>
      </w:r>
      <w:r w:rsidRPr="00130C7A">
        <w:rPr>
          <w:lang w:val="fr-FR"/>
        </w:rPr>
        <w:t>.  </w:t>
      </w:r>
      <w:r w:rsidR="00AA51AF" w:rsidRPr="00130C7A">
        <w:rPr>
          <w:lang w:val="fr-FR"/>
        </w:rPr>
        <w:t>En outre, i</w:t>
      </w:r>
      <w:r w:rsidRPr="00130C7A">
        <w:rPr>
          <w:lang w:val="fr-FR"/>
        </w:rPr>
        <w:t xml:space="preserve">l y a lieu de rappeler que, dans tous les cas où un détenu décède dans des conditions suspectes et </w:t>
      </w:r>
      <w:r w:rsidR="00467904" w:rsidRPr="00130C7A">
        <w:rPr>
          <w:lang w:val="fr-FR"/>
        </w:rPr>
        <w:t>où</w:t>
      </w:r>
      <w:r w:rsidRPr="00130C7A">
        <w:rPr>
          <w:lang w:val="fr-FR"/>
        </w:rPr>
        <w:t xml:space="preserve"> l</w:t>
      </w:r>
      <w:r w:rsidR="00614006" w:rsidRPr="00130C7A">
        <w:rPr>
          <w:lang w:val="fr-FR"/>
        </w:rPr>
        <w:t>a</w:t>
      </w:r>
      <w:r w:rsidRPr="00130C7A">
        <w:rPr>
          <w:lang w:val="fr-FR"/>
        </w:rPr>
        <w:t xml:space="preserve"> cause de ce décès </w:t>
      </w:r>
      <w:r w:rsidR="00614006" w:rsidRPr="00130C7A">
        <w:rPr>
          <w:lang w:val="fr-FR"/>
        </w:rPr>
        <w:t>es</w:t>
      </w:r>
      <w:r w:rsidRPr="00130C7A">
        <w:rPr>
          <w:lang w:val="fr-FR"/>
        </w:rPr>
        <w:t>t susceptible d</w:t>
      </w:r>
      <w:r w:rsidR="00130C7A" w:rsidRPr="00130C7A">
        <w:rPr>
          <w:lang w:val="fr-FR"/>
        </w:rPr>
        <w:t>’</w:t>
      </w:r>
      <w:r w:rsidRPr="00130C7A">
        <w:rPr>
          <w:lang w:val="fr-FR"/>
        </w:rPr>
        <w:t>être rattachée à une action ou une omission d</w:t>
      </w:r>
      <w:r w:rsidR="00130C7A" w:rsidRPr="00130C7A">
        <w:rPr>
          <w:lang w:val="fr-FR"/>
        </w:rPr>
        <w:t>’</w:t>
      </w:r>
      <w:r w:rsidRPr="00130C7A">
        <w:rPr>
          <w:lang w:val="fr-FR"/>
        </w:rPr>
        <w:t>agents ou de services publics, les autorités ont l</w:t>
      </w:r>
      <w:r w:rsidR="00130C7A" w:rsidRPr="00130C7A">
        <w:rPr>
          <w:lang w:val="fr-FR"/>
        </w:rPr>
        <w:t>’</w:t>
      </w:r>
      <w:r w:rsidRPr="00130C7A">
        <w:rPr>
          <w:lang w:val="fr-FR"/>
        </w:rPr>
        <w:t>obligation de mener d</w:t>
      </w:r>
      <w:r w:rsidR="00130C7A" w:rsidRPr="00130C7A">
        <w:rPr>
          <w:lang w:val="fr-FR"/>
        </w:rPr>
        <w:t>’</w:t>
      </w:r>
      <w:r w:rsidRPr="00130C7A">
        <w:rPr>
          <w:lang w:val="fr-FR"/>
        </w:rPr>
        <w:t>office une « enquête officielle et effective » de nature à permettre d</w:t>
      </w:r>
      <w:r w:rsidR="00130C7A" w:rsidRPr="00130C7A">
        <w:rPr>
          <w:lang w:val="fr-FR"/>
        </w:rPr>
        <w:t>’</w:t>
      </w:r>
      <w:r w:rsidRPr="00130C7A">
        <w:rPr>
          <w:lang w:val="fr-FR"/>
        </w:rPr>
        <w:t>établir l</w:t>
      </w:r>
      <w:r w:rsidR="00614006" w:rsidRPr="00130C7A">
        <w:rPr>
          <w:lang w:val="fr-FR"/>
        </w:rPr>
        <w:t>a</w:t>
      </w:r>
      <w:r w:rsidRPr="00130C7A">
        <w:rPr>
          <w:lang w:val="fr-FR"/>
        </w:rPr>
        <w:t xml:space="preserve"> cause de la mort et</w:t>
      </w:r>
      <w:r w:rsidR="00667BA5" w:rsidRPr="00130C7A">
        <w:rPr>
          <w:lang w:val="fr-FR"/>
        </w:rPr>
        <w:t>, le cas échéant,</w:t>
      </w:r>
      <w:r w:rsidRPr="00130C7A">
        <w:rPr>
          <w:lang w:val="fr-FR"/>
        </w:rPr>
        <w:t xml:space="preserve"> d</w:t>
      </w:r>
      <w:r w:rsidR="00130C7A" w:rsidRPr="00130C7A">
        <w:rPr>
          <w:lang w:val="fr-FR"/>
        </w:rPr>
        <w:t>’</w:t>
      </w:r>
      <w:r w:rsidRPr="00130C7A">
        <w:rPr>
          <w:lang w:val="fr-FR"/>
        </w:rPr>
        <w:t>identifier les éventuels responsables de celle-ci et d</w:t>
      </w:r>
      <w:r w:rsidR="00130C7A" w:rsidRPr="00130C7A">
        <w:rPr>
          <w:lang w:val="fr-FR"/>
        </w:rPr>
        <w:t>’</w:t>
      </w:r>
      <w:r w:rsidRPr="00130C7A">
        <w:rPr>
          <w:lang w:val="fr-FR"/>
        </w:rPr>
        <w:t xml:space="preserve">aboutir à leur punition. La Cour a par ailleurs affirmé que, </w:t>
      </w:r>
      <w:r w:rsidR="00C83599" w:rsidRPr="00130C7A">
        <w:rPr>
          <w:lang w:val="fr-FR"/>
        </w:rPr>
        <w:t>lorsqu</w:t>
      </w:r>
      <w:r w:rsidR="00130C7A" w:rsidRPr="00130C7A">
        <w:rPr>
          <w:lang w:val="fr-FR"/>
        </w:rPr>
        <w:t>’</w:t>
      </w:r>
      <w:r w:rsidR="00C83599" w:rsidRPr="00130C7A">
        <w:rPr>
          <w:lang w:val="fr-FR"/>
        </w:rPr>
        <w:t>un tel mécanisme existe</w:t>
      </w:r>
      <w:r w:rsidR="0093196E" w:rsidRPr="00130C7A">
        <w:rPr>
          <w:lang w:val="fr-FR"/>
        </w:rPr>
        <w:t>, la constitution de partie civile devant les juridictions d</w:t>
      </w:r>
      <w:r w:rsidR="00130C7A" w:rsidRPr="00130C7A">
        <w:rPr>
          <w:lang w:val="fr-FR"/>
        </w:rPr>
        <w:t>’</w:t>
      </w:r>
      <w:r w:rsidR="0093196E" w:rsidRPr="00130C7A">
        <w:rPr>
          <w:lang w:val="fr-FR"/>
        </w:rPr>
        <w:t>instruction ou les juridictions répressives est une voie logique et eff</w:t>
      </w:r>
      <w:r w:rsidR="005B4FA4" w:rsidRPr="00130C7A">
        <w:rPr>
          <w:lang w:val="fr-FR"/>
        </w:rPr>
        <w:t>ective</w:t>
      </w:r>
      <w:r w:rsidR="0093196E" w:rsidRPr="00130C7A">
        <w:rPr>
          <w:lang w:val="fr-FR"/>
        </w:rPr>
        <w:t xml:space="preserve"> pour dénoncer de tels faits. La constitution de partie civile s</w:t>
      </w:r>
      <w:r w:rsidR="00130C7A" w:rsidRPr="00130C7A">
        <w:rPr>
          <w:lang w:val="fr-FR"/>
        </w:rPr>
        <w:t>’</w:t>
      </w:r>
      <w:r w:rsidR="0093196E" w:rsidRPr="00130C7A">
        <w:rPr>
          <w:lang w:val="fr-FR"/>
        </w:rPr>
        <w:t>insère en effet pleinement dans la logique de l</w:t>
      </w:r>
      <w:r w:rsidR="00130C7A" w:rsidRPr="00130C7A">
        <w:rPr>
          <w:lang w:val="fr-FR"/>
        </w:rPr>
        <w:t>’</w:t>
      </w:r>
      <w:r w:rsidR="0093196E" w:rsidRPr="00130C7A">
        <w:rPr>
          <w:lang w:val="fr-FR"/>
        </w:rPr>
        <w:t>obligation procédurale spécifique que les articles 2 et 3 de la Convention mettent à la charge des États</w:t>
      </w:r>
      <w:r w:rsidR="00467904" w:rsidRPr="00130C7A">
        <w:rPr>
          <w:lang w:val="fr-FR"/>
        </w:rPr>
        <w:t xml:space="preserve">, </w:t>
      </w:r>
      <w:r w:rsidR="00AB1503" w:rsidRPr="00130C7A">
        <w:rPr>
          <w:lang w:val="fr-FR"/>
        </w:rPr>
        <w:t>et</w:t>
      </w:r>
      <w:r w:rsidR="0093196E" w:rsidRPr="00130C7A">
        <w:rPr>
          <w:lang w:val="fr-FR"/>
        </w:rPr>
        <w:t xml:space="preserve"> </w:t>
      </w:r>
      <w:r w:rsidR="00467904" w:rsidRPr="00130C7A">
        <w:rPr>
          <w:lang w:val="fr-FR"/>
        </w:rPr>
        <w:t xml:space="preserve">elle </w:t>
      </w:r>
      <w:r w:rsidR="0093196E" w:rsidRPr="00130C7A">
        <w:rPr>
          <w:lang w:val="fr-FR"/>
        </w:rPr>
        <w:t>permet aux victimes de faits constitutifs d</w:t>
      </w:r>
      <w:r w:rsidR="00130C7A" w:rsidRPr="00130C7A">
        <w:rPr>
          <w:lang w:val="fr-FR"/>
        </w:rPr>
        <w:t>’</w:t>
      </w:r>
      <w:r w:rsidR="0093196E" w:rsidRPr="00130C7A">
        <w:rPr>
          <w:lang w:val="fr-FR"/>
        </w:rPr>
        <w:t>un crime ou d</w:t>
      </w:r>
      <w:r w:rsidR="00130C7A" w:rsidRPr="00130C7A">
        <w:rPr>
          <w:lang w:val="fr-FR"/>
        </w:rPr>
        <w:t>’</w:t>
      </w:r>
      <w:r w:rsidR="0093196E" w:rsidRPr="00130C7A">
        <w:rPr>
          <w:lang w:val="fr-FR"/>
        </w:rPr>
        <w:t>un délit d</w:t>
      </w:r>
      <w:r w:rsidR="00130C7A" w:rsidRPr="00130C7A">
        <w:rPr>
          <w:lang w:val="fr-FR"/>
        </w:rPr>
        <w:t>’</w:t>
      </w:r>
      <w:r w:rsidR="0093196E" w:rsidRPr="00130C7A">
        <w:rPr>
          <w:lang w:val="fr-FR"/>
        </w:rPr>
        <w:t>augmenter leurs chances d</w:t>
      </w:r>
      <w:r w:rsidR="00130C7A" w:rsidRPr="00130C7A">
        <w:rPr>
          <w:lang w:val="fr-FR"/>
        </w:rPr>
        <w:t>’</w:t>
      </w:r>
      <w:r w:rsidR="0093196E" w:rsidRPr="00130C7A">
        <w:rPr>
          <w:lang w:val="fr-FR"/>
        </w:rPr>
        <w:t>obtenir réparation des préjudices qu</w:t>
      </w:r>
      <w:r w:rsidR="0035652B" w:rsidRPr="00130C7A">
        <w:rPr>
          <w:lang w:val="fr-FR"/>
        </w:rPr>
        <w:t>i</w:t>
      </w:r>
      <w:r w:rsidR="0093196E" w:rsidRPr="00130C7A">
        <w:rPr>
          <w:lang w:val="fr-FR"/>
        </w:rPr>
        <w:t xml:space="preserve"> leur ont </w:t>
      </w:r>
      <w:r w:rsidR="0035652B" w:rsidRPr="00130C7A">
        <w:rPr>
          <w:lang w:val="fr-FR"/>
        </w:rPr>
        <w:t xml:space="preserve">été </w:t>
      </w:r>
      <w:r w:rsidR="0093196E" w:rsidRPr="00130C7A">
        <w:rPr>
          <w:lang w:val="fr-FR"/>
        </w:rPr>
        <w:t>causé</w:t>
      </w:r>
      <w:r w:rsidR="0035652B" w:rsidRPr="00130C7A">
        <w:rPr>
          <w:lang w:val="fr-FR"/>
        </w:rPr>
        <w:t>s</w:t>
      </w:r>
      <w:r w:rsidR="0093196E" w:rsidRPr="00130C7A">
        <w:rPr>
          <w:lang w:val="fr-FR"/>
        </w:rPr>
        <w:t xml:space="preserve"> (</w:t>
      </w:r>
      <w:r w:rsidR="00AA51AF" w:rsidRPr="00130C7A">
        <w:rPr>
          <w:rFonts w:ascii="Times New Roman" w:eastAsia="Times New Roman" w:hAnsi="Times New Roman" w:cs="Times New Roman"/>
          <w:i/>
          <w:lang w:val="fr-FR"/>
        </w:rPr>
        <w:t>De</w:t>
      </w:r>
      <w:r w:rsidR="00AD619D" w:rsidRPr="00130C7A">
        <w:rPr>
          <w:rFonts w:ascii="Times New Roman" w:eastAsia="Times New Roman" w:hAnsi="Times New Roman" w:cs="Times New Roman"/>
          <w:i/>
          <w:lang w:val="fr-FR"/>
        </w:rPr>
        <w:t> </w:t>
      </w:r>
      <w:proofErr w:type="spellStart"/>
      <w:r w:rsidR="00AA51AF" w:rsidRPr="00130C7A">
        <w:rPr>
          <w:rFonts w:ascii="Times New Roman" w:eastAsia="Times New Roman" w:hAnsi="Times New Roman" w:cs="Times New Roman"/>
          <w:i/>
          <w:lang w:val="fr-FR"/>
        </w:rPr>
        <w:t>Donder</w:t>
      </w:r>
      <w:proofErr w:type="spellEnd"/>
      <w:r w:rsidR="00AA51AF" w:rsidRPr="00130C7A">
        <w:rPr>
          <w:rFonts w:ascii="Times New Roman" w:eastAsia="Times New Roman" w:hAnsi="Times New Roman" w:cs="Times New Roman"/>
          <w:i/>
          <w:lang w:val="fr-FR"/>
        </w:rPr>
        <w:t xml:space="preserve"> et De </w:t>
      </w:r>
      <w:proofErr w:type="spellStart"/>
      <w:r w:rsidR="00AA51AF" w:rsidRPr="00130C7A">
        <w:rPr>
          <w:rFonts w:ascii="Times New Roman" w:eastAsia="Times New Roman" w:hAnsi="Times New Roman" w:cs="Times New Roman"/>
          <w:i/>
          <w:lang w:val="fr-FR"/>
        </w:rPr>
        <w:t>Clippel</w:t>
      </w:r>
      <w:proofErr w:type="spellEnd"/>
      <w:r w:rsidR="00AA51AF" w:rsidRPr="00130C7A">
        <w:rPr>
          <w:rFonts w:ascii="Times New Roman" w:eastAsia="Times New Roman" w:hAnsi="Times New Roman" w:cs="Times New Roman"/>
          <w:i/>
          <w:lang w:val="fr-FR"/>
        </w:rPr>
        <w:t xml:space="preserve"> c. Belgique</w:t>
      </w:r>
      <w:r w:rsidR="00AA1836" w:rsidRPr="00130C7A">
        <w:rPr>
          <w:rFonts w:ascii="Times New Roman" w:eastAsia="Times New Roman" w:hAnsi="Times New Roman" w:cs="Times New Roman"/>
          <w:lang w:val="fr-FR"/>
        </w:rPr>
        <w:t>, n</w:t>
      </w:r>
      <w:r w:rsidR="001E0028" w:rsidRPr="00130C7A">
        <w:rPr>
          <w:rFonts w:ascii="Times New Roman" w:eastAsia="Times New Roman" w:hAnsi="Times New Roman" w:cs="Times New Roman"/>
          <w:vertAlign w:val="superscript"/>
          <w:lang w:val="fr-FR"/>
        </w:rPr>
        <w:t>o</w:t>
      </w:r>
      <w:r w:rsidR="00AA51AF" w:rsidRPr="00130C7A">
        <w:rPr>
          <w:rFonts w:ascii="Times New Roman" w:eastAsia="Times New Roman" w:hAnsi="Times New Roman" w:cs="Times New Roman"/>
          <w:lang w:val="fr-FR"/>
        </w:rPr>
        <w:t xml:space="preserve"> 8595/06, §§ 57, 60 et 61, 6</w:t>
      </w:r>
      <w:r w:rsidR="00AD619D" w:rsidRPr="00130C7A">
        <w:rPr>
          <w:rFonts w:ascii="Times New Roman" w:eastAsia="Times New Roman" w:hAnsi="Times New Roman" w:cs="Times New Roman"/>
          <w:lang w:val="fr-FR"/>
        </w:rPr>
        <w:t> </w:t>
      </w:r>
      <w:r w:rsidR="00AA51AF" w:rsidRPr="00130C7A">
        <w:rPr>
          <w:rFonts w:ascii="Times New Roman" w:eastAsia="Times New Roman" w:hAnsi="Times New Roman" w:cs="Times New Roman"/>
          <w:lang w:val="fr-FR"/>
        </w:rPr>
        <w:t>décembre</w:t>
      </w:r>
      <w:r w:rsidR="00AD619D" w:rsidRPr="00130C7A">
        <w:rPr>
          <w:rFonts w:ascii="Times New Roman" w:eastAsia="Times New Roman" w:hAnsi="Times New Roman" w:cs="Times New Roman"/>
          <w:lang w:val="fr-FR"/>
        </w:rPr>
        <w:t> </w:t>
      </w:r>
      <w:r w:rsidR="00AA51AF" w:rsidRPr="00130C7A">
        <w:rPr>
          <w:rFonts w:ascii="Times New Roman" w:eastAsia="Times New Roman" w:hAnsi="Times New Roman" w:cs="Times New Roman"/>
          <w:lang w:val="fr-FR"/>
        </w:rPr>
        <w:t>2011</w:t>
      </w:r>
      <w:r w:rsidR="0035652B" w:rsidRPr="00130C7A">
        <w:rPr>
          <w:rFonts w:ascii="Times New Roman" w:eastAsia="Times New Roman" w:hAnsi="Times New Roman" w:cs="Times New Roman"/>
          <w:lang w:val="fr-FR"/>
        </w:rPr>
        <w:t xml:space="preserve">, </w:t>
      </w:r>
      <w:proofErr w:type="spellStart"/>
      <w:r w:rsidR="00AA51AF" w:rsidRPr="00130C7A">
        <w:rPr>
          <w:rFonts w:ascii="Times New Roman" w:eastAsia="Times New Roman" w:hAnsi="Times New Roman" w:cs="Times New Roman"/>
          <w:i/>
          <w:lang w:val="fr-FR"/>
        </w:rPr>
        <w:t>Semache</w:t>
      </w:r>
      <w:proofErr w:type="spellEnd"/>
      <w:r w:rsidR="00AA51AF" w:rsidRPr="00130C7A">
        <w:rPr>
          <w:rFonts w:ascii="Times New Roman" w:eastAsia="Times New Roman" w:hAnsi="Times New Roman" w:cs="Times New Roman"/>
          <w:i/>
          <w:lang w:val="fr-FR"/>
        </w:rPr>
        <w:t xml:space="preserve"> c. France</w:t>
      </w:r>
      <w:r w:rsidR="00AA51AF" w:rsidRPr="00130C7A">
        <w:rPr>
          <w:rFonts w:ascii="Times New Roman" w:eastAsia="Times New Roman" w:hAnsi="Times New Roman" w:cs="Times New Roman"/>
          <w:lang w:val="fr-FR"/>
        </w:rPr>
        <w:t>, n</w:t>
      </w:r>
      <w:r w:rsidR="001E0028" w:rsidRPr="00130C7A">
        <w:rPr>
          <w:rFonts w:ascii="Times New Roman" w:eastAsia="Times New Roman" w:hAnsi="Times New Roman" w:cs="Times New Roman"/>
          <w:vertAlign w:val="superscript"/>
          <w:lang w:val="fr-FR"/>
        </w:rPr>
        <w:t>o</w:t>
      </w:r>
      <w:r w:rsidR="00AA51AF" w:rsidRPr="00130C7A">
        <w:rPr>
          <w:rFonts w:ascii="Times New Roman" w:eastAsia="Times New Roman" w:hAnsi="Times New Roman" w:cs="Times New Roman"/>
          <w:lang w:val="fr-FR"/>
        </w:rPr>
        <w:t xml:space="preserve"> 36083/16, §§ 51-57, 21</w:t>
      </w:r>
      <w:r w:rsidR="00AD619D" w:rsidRPr="00130C7A">
        <w:rPr>
          <w:rFonts w:ascii="Times New Roman" w:eastAsia="Times New Roman" w:hAnsi="Times New Roman" w:cs="Times New Roman"/>
          <w:lang w:val="fr-FR"/>
        </w:rPr>
        <w:t> </w:t>
      </w:r>
      <w:r w:rsidR="00AA51AF" w:rsidRPr="00130C7A">
        <w:rPr>
          <w:rFonts w:ascii="Times New Roman" w:eastAsia="Times New Roman" w:hAnsi="Times New Roman" w:cs="Times New Roman"/>
          <w:lang w:val="fr-FR"/>
        </w:rPr>
        <w:t>juin</w:t>
      </w:r>
      <w:r w:rsidR="00AD619D" w:rsidRPr="00130C7A">
        <w:rPr>
          <w:rFonts w:ascii="Times New Roman" w:eastAsia="Times New Roman" w:hAnsi="Times New Roman" w:cs="Times New Roman"/>
          <w:lang w:val="fr-FR"/>
        </w:rPr>
        <w:t> </w:t>
      </w:r>
      <w:r w:rsidR="00AA51AF" w:rsidRPr="00130C7A">
        <w:rPr>
          <w:rFonts w:ascii="Times New Roman" w:eastAsia="Times New Roman" w:hAnsi="Times New Roman" w:cs="Times New Roman"/>
          <w:lang w:val="fr-FR"/>
        </w:rPr>
        <w:t>2018</w:t>
      </w:r>
      <w:r w:rsidR="0035652B" w:rsidRPr="00130C7A">
        <w:rPr>
          <w:rFonts w:ascii="Times New Roman" w:eastAsia="Times New Roman" w:hAnsi="Times New Roman" w:cs="Times New Roman"/>
          <w:lang w:val="fr-FR"/>
        </w:rPr>
        <w:t xml:space="preserve">, et </w:t>
      </w:r>
      <w:proofErr w:type="spellStart"/>
      <w:r w:rsidR="00AA51AF" w:rsidRPr="00130C7A">
        <w:rPr>
          <w:rFonts w:ascii="Times New Roman" w:eastAsia="Times New Roman" w:hAnsi="Times New Roman" w:cs="Times New Roman"/>
          <w:i/>
          <w:lang w:val="fr-FR"/>
        </w:rPr>
        <w:t>Tekın</w:t>
      </w:r>
      <w:proofErr w:type="spellEnd"/>
      <w:r w:rsidR="00AA51AF" w:rsidRPr="00130C7A">
        <w:rPr>
          <w:rFonts w:ascii="Times New Roman" w:eastAsia="Times New Roman" w:hAnsi="Times New Roman" w:cs="Times New Roman"/>
          <w:i/>
          <w:lang w:val="fr-FR"/>
        </w:rPr>
        <w:t xml:space="preserve"> et </w:t>
      </w:r>
      <w:proofErr w:type="spellStart"/>
      <w:r w:rsidR="00AA51AF" w:rsidRPr="00130C7A">
        <w:rPr>
          <w:rFonts w:ascii="Times New Roman" w:eastAsia="Times New Roman" w:hAnsi="Times New Roman" w:cs="Times New Roman"/>
          <w:i/>
          <w:lang w:val="fr-FR"/>
        </w:rPr>
        <w:t>Arslan</w:t>
      </w:r>
      <w:proofErr w:type="spellEnd"/>
      <w:r w:rsidR="00AA51AF" w:rsidRPr="00130C7A">
        <w:rPr>
          <w:rFonts w:ascii="Times New Roman" w:eastAsia="Times New Roman" w:hAnsi="Times New Roman" w:cs="Times New Roman"/>
          <w:i/>
          <w:lang w:val="fr-FR"/>
        </w:rPr>
        <w:t xml:space="preserve"> c.</w:t>
      </w:r>
      <w:r w:rsidR="0035652B" w:rsidRPr="00130C7A">
        <w:rPr>
          <w:rFonts w:ascii="Times New Roman" w:eastAsia="Times New Roman" w:hAnsi="Times New Roman" w:cs="Times New Roman"/>
          <w:i/>
          <w:lang w:val="fr-FR"/>
        </w:rPr>
        <w:t> </w:t>
      </w:r>
      <w:r w:rsidR="00AA51AF" w:rsidRPr="00130C7A">
        <w:rPr>
          <w:rFonts w:ascii="Times New Roman" w:eastAsia="Times New Roman" w:hAnsi="Times New Roman" w:cs="Times New Roman"/>
          <w:i/>
          <w:lang w:val="fr-FR"/>
        </w:rPr>
        <w:t>Belgique</w:t>
      </w:r>
      <w:r w:rsidR="00AA51AF" w:rsidRPr="00130C7A">
        <w:rPr>
          <w:rFonts w:ascii="Times New Roman" w:eastAsia="Times New Roman" w:hAnsi="Times New Roman" w:cs="Times New Roman"/>
          <w:lang w:val="fr-FR"/>
        </w:rPr>
        <w:t>, n</w:t>
      </w:r>
      <w:r w:rsidR="001E0028" w:rsidRPr="00130C7A">
        <w:rPr>
          <w:rFonts w:ascii="Times New Roman" w:eastAsia="Times New Roman" w:hAnsi="Times New Roman" w:cs="Times New Roman"/>
          <w:vertAlign w:val="superscript"/>
          <w:lang w:val="fr-FR"/>
        </w:rPr>
        <w:t>o</w:t>
      </w:r>
      <w:r w:rsidR="00AA51AF" w:rsidRPr="00130C7A">
        <w:rPr>
          <w:rFonts w:ascii="Times New Roman" w:eastAsia="Times New Roman" w:hAnsi="Times New Roman" w:cs="Times New Roman"/>
          <w:lang w:val="fr-FR"/>
        </w:rPr>
        <w:t xml:space="preserve"> 37795/</w:t>
      </w:r>
      <w:r w:rsidR="001F466B" w:rsidRPr="00130C7A">
        <w:rPr>
          <w:rFonts w:ascii="Times New Roman" w:eastAsia="Times New Roman" w:hAnsi="Times New Roman" w:cs="Times New Roman"/>
          <w:lang w:val="fr-FR"/>
        </w:rPr>
        <w:t>13, §§ 68-71, 5</w:t>
      </w:r>
      <w:r w:rsidR="00AD619D" w:rsidRPr="00130C7A">
        <w:rPr>
          <w:rFonts w:ascii="Times New Roman" w:eastAsia="Times New Roman" w:hAnsi="Times New Roman" w:cs="Times New Roman"/>
          <w:lang w:val="fr-FR"/>
        </w:rPr>
        <w:t> </w:t>
      </w:r>
      <w:r w:rsidR="001F466B" w:rsidRPr="00130C7A">
        <w:rPr>
          <w:rFonts w:ascii="Times New Roman" w:eastAsia="Times New Roman" w:hAnsi="Times New Roman" w:cs="Times New Roman"/>
          <w:lang w:val="fr-FR"/>
        </w:rPr>
        <w:t>septembre</w:t>
      </w:r>
      <w:r w:rsidR="00AD619D" w:rsidRPr="00130C7A">
        <w:rPr>
          <w:rFonts w:ascii="Times New Roman" w:eastAsia="Times New Roman" w:hAnsi="Times New Roman" w:cs="Times New Roman"/>
          <w:lang w:val="fr-FR"/>
        </w:rPr>
        <w:t> </w:t>
      </w:r>
      <w:r w:rsidR="001F466B" w:rsidRPr="00130C7A">
        <w:rPr>
          <w:rFonts w:ascii="Times New Roman" w:eastAsia="Times New Roman" w:hAnsi="Times New Roman" w:cs="Times New Roman"/>
          <w:lang w:val="fr-FR"/>
        </w:rPr>
        <w:t>2017).</w:t>
      </w:r>
    </w:p>
    <w:p w:rsidR="00EC3EED" w:rsidRPr="00130C7A" w:rsidRDefault="00EC3EED"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52</w:t>
      </w:r>
      <w:r w:rsidRPr="00130C7A">
        <w:rPr>
          <w:lang w:val="fr-FR"/>
        </w:rPr>
        <w:fldChar w:fldCharType="end"/>
      </w:r>
      <w:r w:rsidRPr="00130C7A">
        <w:rPr>
          <w:lang w:val="fr-FR"/>
        </w:rPr>
        <w:t>.  Se tournant vers la présente affaire, la Cour observe tout d</w:t>
      </w:r>
      <w:r w:rsidR="00130C7A" w:rsidRPr="00130C7A">
        <w:rPr>
          <w:lang w:val="fr-FR"/>
        </w:rPr>
        <w:t>’</w:t>
      </w:r>
      <w:r w:rsidRPr="00130C7A">
        <w:rPr>
          <w:lang w:val="fr-FR"/>
        </w:rPr>
        <w:t>abord que</w:t>
      </w:r>
      <w:r w:rsidR="003379F1" w:rsidRPr="00130C7A">
        <w:rPr>
          <w:lang w:val="fr-FR"/>
        </w:rPr>
        <w:t xml:space="preserve"> le requérant</w:t>
      </w:r>
      <w:r w:rsidRPr="00130C7A">
        <w:rPr>
          <w:lang w:val="fr-FR"/>
        </w:rPr>
        <w:t xml:space="preserve"> </w:t>
      </w:r>
      <w:r w:rsidR="00AB1503" w:rsidRPr="00130C7A">
        <w:rPr>
          <w:lang w:val="fr-FR"/>
        </w:rPr>
        <w:t>n</w:t>
      </w:r>
      <w:r w:rsidR="00130C7A" w:rsidRPr="00130C7A">
        <w:rPr>
          <w:lang w:val="fr-FR"/>
        </w:rPr>
        <w:t>’</w:t>
      </w:r>
      <w:r w:rsidR="00AB1503" w:rsidRPr="00130C7A">
        <w:rPr>
          <w:lang w:val="fr-FR"/>
        </w:rPr>
        <w:t>allègue pas</w:t>
      </w:r>
      <w:r w:rsidR="00B35FBC" w:rsidRPr="00130C7A">
        <w:rPr>
          <w:lang w:val="fr-FR"/>
        </w:rPr>
        <w:t xml:space="preserve">, </w:t>
      </w:r>
      <w:r w:rsidR="00C0140B" w:rsidRPr="00130C7A">
        <w:rPr>
          <w:lang w:val="fr-FR"/>
        </w:rPr>
        <w:t>et</w:t>
      </w:r>
      <w:r w:rsidR="00B35FBC" w:rsidRPr="00130C7A">
        <w:rPr>
          <w:lang w:val="fr-FR"/>
        </w:rPr>
        <w:t xml:space="preserve"> que</w:t>
      </w:r>
      <w:r w:rsidR="003379F1" w:rsidRPr="00130C7A">
        <w:rPr>
          <w:lang w:val="fr-FR"/>
        </w:rPr>
        <w:t xml:space="preserve"> rien dans le dossier n</w:t>
      </w:r>
      <w:r w:rsidR="00130C7A" w:rsidRPr="00130C7A">
        <w:rPr>
          <w:lang w:val="fr-FR"/>
        </w:rPr>
        <w:t>’</w:t>
      </w:r>
      <w:r w:rsidRPr="00130C7A">
        <w:rPr>
          <w:lang w:val="fr-FR"/>
        </w:rPr>
        <w:t>indique</w:t>
      </w:r>
      <w:r w:rsidR="00B35FBC" w:rsidRPr="00130C7A">
        <w:rPr>
          <w:lang w:val="fr-FR"/>
        </w:rPr>
        <w:t xml:space="preserve">, </w:t>
      </w:r>
      <w:r w:rsidRPr="00130C7A">
        <w:rPr>
          <w:lang w:val="fr-FR"/>
        </w:rPr>
        <w:t xml:space="preserve">que le décès </w:t>
      </w:r>
      <w:r w:rsidR="00DA7A22" w:rsidRPr="00130C7A">
        <w:rPr>
          <w:lang w:val="fr-FR"/>
        </w:rPr>
        <w:t>de son neveu</w:t>
      </w:r>
      <w:r w:rsidRPr="00130C7A">
        <w:rPr>
          <w:lang w:val="fr-FR"/>
        </w:rPr>
        <w:t xml:space="preserve"> a été provoqué intentionnellement par des agents de l</w:t>
      </w:r>
      <w:r w:rsidR="00130C7A" w:rsidRPr="00130C7A">
        <w:rPr>
          <w:lang w:val="fr-FR"/>
        </w:rPr>
        <w:t>’</w:t>
      </w:r>
      <w:r w:rsidRPr="00130C7A">
        <w:rPr>
          <w:lang w:val="fr-FR"/>
        </w:rPr>
        <w:t>État ou par le recours illégal à la force</w:t>
      </w:r>
      <w:r w:rsidR="00AB1503" w:rsidRPr="00130C7A">
        <w:rPr>
          <w:lang w:val="fr-FR"/>
        </w:rPr>
        <w:t xml:space="preserve">, </w:t>
      </w:r>
      <w:r w:rsidR="00590C7D" w:rsidRPr="00130C7A">
        <w:rPr>
          <w:lang w:val="fr-FR"/>
        </w:rPr>
        <w:t>l</w:t>
      </w:r>
      <w:r w:rsidR="00130C7A" w:rsidRPr="00130C7A">
        <w:rPr>
          <w:lang w:val="fr-FR"/>
        </w:rPr>
        <w:t>’</w:t>
      </w:r>
      <w:r w:rsidR="00590C7D" w:rsidRPr="00130C7A">
        <w:rPr>
          <w:lang w:val="fr-FR"/>
        </w:rPr>
        <w:t>intéressé</w:t>
      </w:r>
      <w:r w:rsidR="00AB1503" w:rsidRPr="00130C7A">
        <w:rPr>
          <w:lang w:val="fr-FR"/>
        </w:rPr>
        <w:t xml:space="preserve"> se plaignan</w:t>
      </w:r>
      <w:r w:rsidRPr="00130C7A">
        <w:rPr>
          <w:lang w:val="fr-FR"/>
        </w:rPr>
        <w:t xml:space="preserve">t </w:t>
      </w:r>
      <w:r w:rsidR="00AB1503" w:rsidRPr="00130C7A">
        <w:rPr>
          <w:lang w:val="fr-FR"/>
        </w:rPr>
        <w:t xml:space="preserve">plutôt </w:t>
      </w:r>
      <w:r w:rsidR="003379F1" w:rsidRPr="00130C7A">
        <w:rPr>
          <w:lang w:val="fr-FR"/>
        </w:rPr>
        <w:t>d</w:t>
      </w:r>
      <w:r w:rsidR="00130C7A" w:rsidRPr="00130C7A">
        <w:rPr>
          <w:lang w:val="fr-FR"/>
        </w:rPr>
        <w:t>’</w:t>
      </w:r>
      <w:r w:rsidR="00590C7D" w:rsidRPr="00130C7A">
        <w:rPr>
          <w:lang w:val="fr-FR"/>
        </w:rPr>
        <w:t>un</w:t>
      </w:r>
      <w:r w:rsidRPr="00130C7A">
        <w:rPr>
          <w:lang w:val="fr-FR"/>
        </w:rPr>
        <w:t xml:space="preserve"> manque de </w:t>
      </w:r>
      <w:r w:rsidR="00512132" w:rsidRPr="00130C7A">
        <w:rPr>
          <w:lang w:val="fr-FR"/>
        </w:rPr>
        <w:t>diligence</w:t>
      </w:r>
      <w:r w:rsidRPr="00130C7A">
        <w:rPr>
          <w:lang w:val="fr-FR"/>
        </w:rPr>
        <w:t xml:space="preserve"> des autorités </w:t>
      </w:r>
      <w:r w:rsidR="0015200D" w:rsidRPr="00130C7A">
        <w:rPr>
          <w:lang w:val="fr-FR"/>
        </w:rPr>
        <w:t xml:space="preserve">pénitentiaires </w:t>
      </w:r>
      <w:r w:rsidRPr="00130C7A">
        <w:rPr>
          <w:lang w:val="fr-FR"/>
        </w:rPr>
        <w:t>et d</w:t>
      </w:r>
      <w:r w:rsidR="00130C7A" w:rsidRPr="00130C7A">
        <w:rPr>
          <w:lang w:val="fr-FR"/>
        </w:rPr>
        <w:t>’</w:t>
      </w:r>
      <w:r w:rsidR="00590C7D" w:rsidRPr="00130C7A">
        <w:rPr>
          <w:lang w:val="fr-FR"/>
        </w:rPr>
        <w:t xml:space="preserve">une </w:t>
      </w:r>
      <w:r w:rsidRPr="00130C7A">
        <w:rPr>
          <w:lang w:val="fr-FR"/>
        </w:rPr>
        <w:t xml:space="preserve">absence de mesures </w:t>
      </w:r>
      <w:r w:rsidR="00A75566" w:rsidRPr="00130C7A">
        <w:rPr>
          <w:lang w:val="fr-FR"/>
        </w:rPr>
        <w:t>préventives</w:t>
      </w:r>
      <w:r w:rsidRPr="00130C7A">
        <w:rPr>
          <w:lang w:val="fr-FR"/>
        </w:rPr>
        <w:t xml:space="preserve"> </w:t>
      </w:r>
      <w:r w:rsidR="004D1F41" w:rsidRPr="00130C7A">
        <w:rPr>
          <w:lang w:val="fr-FR"/>
        </w:rPr>
        <w:t>aptes à</w:t>
      </w:r>
      <w:r w:rsidRPr="00130C7A">
        <w:rPr>
          <w:lang w:val="fr-FR"/>
        </w:rPr>
        <w:t xml:space="preserve"> protéger la vie d</w:t>
      </w:r>
      <w:r w:rsidR="005945AB" w:rsidRPr="00130C7A">
        <w:rPr>
          <w:lang w:val="fr-FR"/>
        </w:rPr>
        <w:t xml:space="preserve">e </w:t>
      </w:r>
      <w:r w:rsidR="00DA7A22" w:rsidRPr="00130C7A">
        <w:rPr>
          <w:lang w:val="fr-FR"/>
        </w:rPr>
        <w:t>A</w:t>
      </w:r>
      <w:r w:rsidR="003379F1" w:rsidRPr="00130C7A">
        <w:rPr>
          <w:lang w:val="fr-FR"/>
        </w:rPr>
        <w:t>.</w:t>
      </w:r>
    </w:p>
    <w:p w:rsidR="001E0028" w:rsidRPr="00130C7A" w:rsidRDefault="00A879BB" w:rsidP="00130C7A">
      <w:pPr>
        <w:pStyle w:val="ECHRPara"/>
        <w:rPr>
          <w:lang w:val="fr-FR"/>
        </w:rPr>
      </w:pPr>
      <w:r w:rsidRPr="00130C7A">
        <w:lastRenderedPageBreak/>
        <w:fldChar w:fldCharType="begin"/>
      </w:r>
      <w:r w:rsidRPr="00130C7A">
        <w:rPr>
          <w:lang w:val="fr-FR"/>
        </w:rPr>
        <w:instrText xml:space="preserve"> SEQ level0 \*arabic </w:instrText>
      </w:r>
      <w:r w:rsidRPr="00130C7A">
        <w:fldChar w:fldCharType="separate"/>
      </w:r>
      <w:r w:rsidR="00130C7A" w:rsidRPr="00130C7A">
        <w:rPr>
          <w:noProof/>
          <w:lang w:val="fr-FR"/>
        </w:rPr>
        <w:t>53</w:t>
      </w:r>
      <w:r w:rsidRPr="00130C7A">
        <w:fldChar w:fldCharType="end"/>
      </w:r>
      <w:r w:rsidRPr="00130C7A">
        <w:rPr>
          <w:lang w:val="fr-FR"/>
        </w:rPr>
        <w:t>.  </w:t>
      </w:r>
      <w:r w:rsidR="00AB1503" w:rsidRPr="00130C7A">
        <w:rPr>
          <w:lang w:val="fr-FR"/>
        </w:rPr>
        <w:t>La Cour observe ensuite</w:t>
      </w:r>
      <w:r w:rsidR="004D1F41" w:rsidRPr="00130C7A">
        <w:rPr>
          <w:lang w:val="fr-FR"/>
        </w:rPr>
        <w:t>,</w:t>
      </w:r>
      <w:r w:rsidR="00AB1503" w:rsidRPr="00130C7A">
        <w:rPr>
          <w:lang w:val="fr-FR"/>
        </w:rPr>
        <w:t xml:space="preserve"> avec le Gouvernement</w:t>
      </w:r>
      <w:r w:rsidR="004D1F41" w:rsidRPr="00130C7A">
        <w:rPr>
          <w:lang w:val="fr-FR"/>
        </w:rPr>
        <w:t>,</w:t>
      </w:r>
      <w:r w:rsidR="00AB1503" w:rsidRPr="00130C7A">
        <w:rPr>
          <w:lang w:val="fr-FR"/>
        </w:rPr>
        <w:t xml:space="preserve"> que le droit national offre la possibilité d</w:t>
      </w:r>
      <w:r w:rsidR="00130C7A" w:rsidRPr="00130C7A">
        <w:rPr>
          <w:lang w:val="fr-FR"/>
        </w:rPr>
        <w:t>’</w:t>
      </w:r>
      <w:r w:rsidR="00AB1503" w:rsidRPr="00130C7A">
        <w:rPr>
          <w:lang w:val="fr-FR"/>
        </w:rPr>
        <w:t>obtenir un dédommagement pour des faits imputables aux agents de l</w:t>
      </w:r>
      <w:r w:rsidR="00130C7A" w:rsidRPr="00130C7A">
        <w:rPr>
          <w:lang w:val="fr-FR"/>
        </w:rPr>
        <w:t>’</w:t>
      </w:r>
      <w:r w:rsidR="004D1F41" w:rsidRPr="00130C7A">
        <w:rPr>
          <w:lang w:val="fr-FR"/>
        </w:rPr>
        <w:t>État</w:t>
      </w:r>
      <w:r w:rsidR="00AB1503" w:rsidRPr="00130C7A">
        <w:rPr>
          <w:lang w:val="fr-FR"/>
        </w:rPr>
        <w:t xml:space="preserve"> tant pa</w:t>
      </w:r>
      <w:r w:rsidR="006B23C3" w:rsidRPr="00130C7A">
        <w:rPr>
          <w:lang w:val="fr-FR"/>
        </w:rPr>
        <w:t>r</w:t>
      </w:r>
      <w:r w:rsidR="00AB1503" w:rsidRPr="00130C7A">
        <w:rPr>
          <w:lang w:val="fr-FR"/>
        </w:rPr>
        <w:t xml:space="preserve"> la constitution de partie civile </w:t>
      </w:r>
      <w:r w:rsidR="006B23C3" w:rsidRPr="00130C7A">
        <w:rPr>
          <w:lang w:val="fr-FR"/>
        </w:rPr>
        <w:t>dans une enquête</w:t>
      </w:r>
      <w:r w:rsidR="00AB1503" w:rsidRPr="00130C7A">
        <w:rPr>
          <w:lang w:val="fr-FR"/>
        </w:rPr>
        <w:t xml:space="preserve"> pénale que par le biais d</w:t>
      </w:r>
      <w:r w:rsidR="00130C7A" w:rsidRPr="00130C7A">
        <w:rPr>
          <w:lang w:val="fr-FR"/>
        </w:rPr>
        <w:t>’</w:t>
      </w:r>
      <w:r w:rsidR="00AB1503" w:rsidRPr="00130C7A">
        <w:rPr>
          <w:lang w:val="fr-FR"/>
        </w:rPr>
        <w:t xml:space="preserve">un recours en dommages-intérêts devant le juge civil. </w:t>
      </w:r>
      <w:r w:rsidR="00A3537B" w:rsidRPr="00130C7A">
        <w:rPr>
          <w:lang w:val="fr-FR"/>
        </w:rPr>
        <w:t>Le Gouverne</w:t>
      </w:r>
      <w:r w:rsidR="003379F1" w:rsidRPr="00130C7A">
        <w:rPr>
          <w:lang w:val="fr-FR"/>
        </w:rPr>
        <w:t xml:space="preserve">ment considère que le requérant, qui </w:t>
      </w:r>
      <w:r w:rsidR="00AB1503" w:rsidRPr="00130C7A">
        <w:rPr>
          <w:lang w:val="fr-FR"/>
        </w:rPr>
        <w:t>ne s</w:t>
      </w:r>
      <w:r w:rsidR="00130C7A" w:rsidRPr="00130C7A">
        <w:rPr>
          <w:lang w:val="fr-FR"/>
        </w:rPr>
        <w:t>’</w:t>
      </w:r>
      <w:r w:rsidR="00AB1503" w:rsidRPr="00130C7A">
        <w:rPr>
          <w:lang w:val="fr-FR"/>
        </w:rPr>
        <w:t>est pas constitué partie civile</w:t>
      </w:r>
      <w:r w:rsidR="0015200D" w:rsidRPr="00130C7A">
        <w:rPr>
          <w:lang w:val="fr-FR"/>
        </w:rPr>
        <w:t xml:space="preserve"> dans la procédure pénale</w:t>
      </w:r>
      <w:r w:rsidR="00DB1083" w:rsidRPr="00130C7A">
        <w:rPr>
          <w:lang w:val="fr-FR"/>
        </w:rPr>
        <w:t xml:space="preserve">, </w:t>
      </w:r>
      <w:r w:rsidR="00A3537B" w:rsidRPr="00130C7A">
        <w:rPr>
          <w:lang w:val="fr-FR"/>
        </w:rPr>
        <w:t xml:space="preserve">aurait dû </w:t>
      </w:r>
      <w:r w:rsidR="006A462E" w:rsidRPr="00130C7A">
        <w:rPr>
          <w:lang w:val="fr-FR"/>
        </w:rPr>
        <w:t>introduire</w:t>
      </w:r>
      <w:r w:rsidR="00AA1836" w:rsidRPr="00130C7A">
        <w:rPr>
          <w:lang w:val="fr-FR"/>
        </w:rPr>
        <w:t>,</w:t>
      </w:r>
      <w:r w:rsidR="006A462E" w:rsidRPr="00130C7A">
        <w:rPr>
          <w:lang w:val="fr-FR"/>
        </w:rPr>
        <w:t xml:space="preserve"> </w:t>
      </w:r>
      <w:r w:rsidR="00AA1836" w:rsidRPr="00130C7A">
        <w:rPr>
          <w:lang w:val="fr-FR"/>
        </w:rPr>
        <w:t>sans attendre l</w:t>
      </w:r>
      <w:r w:rsidR="00130C7A" w:rsidRPr="00130C7A">
        <w:rPr>
          <w:lang w:val="fr-FR"/>
        </w:rPr>
        <w:t>’</w:t>
      </w:r>
      <w:r w:rsidR="00AA1836" w:rsidRPr="00130C7A">
        <w:rPr>
          <w:lang w:val="fr-FR"/>
        </w:rPr>
        <w:t>issue de l</w:t>
      </w:r>
      <w:r w:rsidR="00130C7A" w:rsidRPr="00130C7A">
        <w:rPr>
          <w:lang w:val="fr-FR"/>
        </w:rPr>
        <w:t>’</w:t>
      </w:r>
      <w:r w:rsidR="00AA1836" w:rsidRPr="00130C7A">
        <w:rPr>
          <w:lang w:val="fr-FR"/>
        </w:rPr>
        <w:t xml:space="preserve">enquête, </w:t>
      </w:r>
      <w:r w:rsidR="006A462E" w:rsidRPr="00130C7A">
        <w:rPr>
          <w:lang w:val="fr-FR"/>
        </w:rPr>
        <w:t>une action en dommages</w:t>
      </w:r>
      <w:r w:rsidR="004D1F41" w:rsidRPr="00130C7A">
        <w:rPr>
          <w:lang w:val="fr-FR"/>
        </w:rPr>
        <w:noBreakHyphen/>
      </w:r>
      <w:r w:rsidR="006A462E" w:rsidRPr="00130C7A">
        <w:rPr>
          <w:lang w:val="fr-FR"/>
        </w:rPr>
        <w:t>intérêts devant</w:t>
      </w:r>
      <w:r w:rsidR="00A3537B" w:rsidRPr="00130C7A">
        <w:rPr>
          <w:lang w:val="fr-FR"/>
        </w:rPr>
        <w:t xml:space="preserve"> le juge </w:t>
      </w:r>
      <w:r w:rsidR="006A462E" w:rsidRPr="00130C7A">
        <w:rPr>
          <w:lang w:val="fr-FR"/>
        </w:rPr>
        <w:t>judiciaire</w:t>
      </w:r>
      <w:r w:rsidR="00B9737B" w:rsidRPr="00130C7A">
        <w:rPr>
          <w:lang w:val="fr-FR"/>
        </w:rPr>
        <w:t>,</w:t>
      </w:r>
      <w:r w:rsidR="00A3537B" w:rsidRPr="00130C7A">
        <w:rPr>
          <w:lang w:val="fr-FR"/>
        </w:rPr>
        <w:t xml:space="preserve"> </w:t>
      </w:r>
      <w:r w:rsidR="00B9737B" w:rsidRPr="00130C7A">
        <w:rPr>
          <w:lang w:val="fr-FR"/>
        </w:rPr>
        <w:t>lequel aurait pu établir l</w:t>
      </w:r>
      <w:r w:rsidR="00614006" w:rsidRPr="00130C7A">
        <w:rPr>
          <w:lang w:val="fr-FR"/>
        </w:rPr>
        <w:t>a</w:t>
      </w:r>
      <w:r w:rsidR="00B9737B" w:rsidRPr="00130C7A">
        <w:rPr>
          <w:lang w:val="fr-FR"/>
        </w:rPr>
        <w:t xml:space="preserve"> cause </w:t>
      </w:r>
      <w:r w:rsidR="0031300D" w:rsidRPr="00130C7A">
        <w:rPr>
          <w:lang w:val="fr-FR"/>
        </w:rPr>
        <w:t xml:space="preserve">du décès </w:t>
      </w:r>
      <w:r w:rsidR="006A462E" w:rsidRPr="00130C7A">
        <w:rPr>
          <w:lang w:val="fr-FR"/>
        </w:rPr>
        <w:t>d</w:t>
      </w:r>
      <w:r w:rsidR="005945AB" w:rsidRPr="00130C7A">
        <w:rPr>
          <w:lang w:val="fr-FR"/>
        </w:rPr>
        <w:t xml:space="preserve">e </w:t>
      </w:r>
      <w:r w:rsidR="006A462E" w:rsidRPr="00130C7A">
        <w:rPr>
          <w:lang w:val="fr-FR"/>
        </w:rPr>
        <w:t>A.</w:t>
      </w:r>
      <w:r w:rsidR="00B9737B" w:rsidRPr="00130C7A">
        <w:rPr>
          <w:lang w:val="fr-FR"/>
        </w:rPr>
        <w:t xml:space="preserve"> et, le cas échéant, </w:t>
      </w:r>
      <w:r w:rsidR="004D1F41" w:rsidRPr="00130C7A">
        <w:rPr>
          <w:lang w:val="fr-FR"/>
        </w:rPr>
        <w:t>accorder</w:t>
      </w:r>
      <w:r w:rsidR="00B9737B" w:rsidRPr="00130C7A">
        <w:rPr>
          <w:lang w:val="fr-FR"/>
        </w:rPr>
        <w:t xml:space="preserve"> un redressement approprié.</w:t>
      </w:r>
    </w:p>
    <w:p w:rsidR="00D24A6A" w:rsidRPr="00130C7A" w:rsidRDefault="00DB1083" w:rsidP="00130C7A">
      <w:pPr>
        <w:pStyle w:val="ECHRPara"/>
        <w:rPr>
          <w:lang w:val="fr-FR"/>
        </w:rPr>
      </w:pPr>
      <w:r w:rsidRPr="00130C7A">
        <w:fldChar w:fldCharType="begin"/>
      </w:r>
      <w:r w:rsidRPr="00130C7A">
        <w:rPr>
          <w:lang w:val="fr-FR"/>
        </w:rPr>
        <w:instrText xml:space="preserve"> SEQ level0 \*arabic </w:instrText>
      </w:r>
      <w:r w:rsidRPr="00130C7A">
        <w:fldChar w:fldCharType="separate"/>
      </w:r>
      <w:r w:rsidR="00130C7A" w:rsidRPr="00130C7A">
        <w:rPr>
          <w:noProof/>
          <w:lang w:val="fr-FR"/>
        </w:rPr>
        <w:t>54</w:t>
      </w:r>
      <w:r w:rsidRPr="00130C7A">
        <w:fldChar w:fldCharType="end"/>
      </w:r>
      <w:r w:rsidR="00AB1503" w:rsidRPr="00130C7A">
        <w:rPr>
          <w:lang w:val="fr-FR"/>
        </w:rPr>
        <w:t>.  </w:t>
      </w:r>
      <w:r w:rsidR="004D1F41" w:rsidRPr="00130C7A">
        <w:rPr>
          <w:lang w:val="fr-FR"/>
        </w:rPr>
        <w:t>La Cour note que, e</w:t>
      </w:r>
      <w:r w:rsidR="00AB1503" w:rsidRPr="00130C7A">
        <w:rPr>
          <w:lang w:val="fr-FR"/>
        </w:rPr>
        <w:t>n l</w:t>
      </w:r>
      <w:r w:rsidR="00130C7A" w:rsidRPr="00130C7A">
        <w:rPr>
          <w:lang w:val="fr-FR"/>
        </w:rPr>
        <w:t>’</w:t>
      </w:r>
      <w:r w:rsidR="00AB1503" w:rsidRPr="00130C7A">
        <w:rPr>
          <w:lang w:val="fr-FR"/>
        </w:rPr>
        <w:t>occurrence, le requérant a choisi de participer en sa qualité de partie lésée à la procédure pénale qui avait été engagée d</w:t>
      </w:r>
      <w:r w:rsidR="00130C7A" w:rsidRPr="00130C7A">
        <w:rPr>
          <w:lang w:val="fr-FR"/>
        </w:rPr>
        <w:t>’</w:t>
      </w:r>
      <w:r w:rsidR="00AB1503" w:rsidRPr="00130C7A">
        <w:rPr>
          <w:lang w:val="fr-FR"/>
        </w:rPr>
        <w:t>office par les autorités afin d</w:t>
      </w:r>
      <w:r w:rsidR="00130C7A" w:rsidRPr="00130C7A">
        <w:rPr>
          <w:lang w:val="fr-FR"/>
        </w:rPr>
        <w:t>’</w:t>
      </w:r>
      <w:r w:rsidR="00AB1503" w:rsidRPr="00130C7A">
        <w:rPr>
          <w:lang w:val="fr-FR"/>
        </w:rPr>
        <w:t>élucider les circonstances du décès d</w:t>
      </w:r>
      <w:r w:rsidR="005945AB" w:rsidRPr="00130C7A">
        <w:rPr>
          <w:lang w:val="fr-FR"/>
        </w:rPr>
        <w:t xml:space="preserve">e </w:t>
      </w:r>
      <w:r w:rsidR="00AB1503" w:rsidRPr="00130C7A">
        <w:rPr>
          <w:lang w:val="fr-FR"/>
        </w:rPr>
        <w:t xml:space="preserve">A. </w:t>
      </w:r>
      <w:r w:rsidR="004D1F41" w:rsidRPr="00130C7A">
        <w:rPr>
          <w:lang w:val="fr-FR"/>
        </w:rPr>
        <w:t>S</w:t>
      </w:r>
      <w:r w:rsidR="00130C7A" w:rsidRPr="00130C7A">
        <w:rPr>
          <w:lang w:val="fr-FR"/>
        </w:rPr>
        <w:t>’</w:t>
      </w:r>
      <w:r w:rsidR="00D24A6A" w:rsidRPr="00130C7A">
        <w:rPr>
          <w:lang w:val="fr-FR"/>
        </w:rPr>
        <w:t>il est vrai que le requérant ne s</w:t>
      </w:r>
      <w:r w:rsidR="00130C7A" w:rsidRPr="00130C7A">
        <w:rPr>
          <w:lang w:val="fr-FR"/>
        </w:rPr>
        <w:t>’</w:t>
      </w:r>
      <w:r w:rsidR="00D24A6A" w:rsidRPr="00130C7A">
        <w:rPr>
          <w:lang w:val="fr-FR"/>
        </w:rPr>
        <w:t>est pas constitué partie civile dans la</w:t>
      </w:r>
      <w:r w:rsidR="00AB1503" w:rsidRPr="00130C7A">
        <w:rPr>
          <w:lang w:val="fr-FR"/>
        </w:rPr>
        <w:t>dite</w:t>
      </w:r>
      <w:r w:rsidR="00D24A6A" w:rsidRPr="00130C7A">
        <w:rPr>
          <w:lang w:val="fr-FR"/>
        </w:rPr>
        <w:t xml:space="preserve"> procédure, cela est dû au fait que, en droit italien, la partie lésée ne peut se constituer partie civile qu</w:t>
      </w:r>
      <w:r w:rsidR="00130C7A" w:rsidRPr="00130C7A">
        <w:rPr>
          <w:lang w:val="fr-FR"/>
        </w:rPr>
        <w:t>’</w:t>
      </w:r>
      <w:r w:rsidR="00D24A6A" w:rsidRPr="00130C7A">
        <w:rPr>
          <w:lang w:val="fr-FR"/>
        </w:rPr>
        <w:t>à partir de l</w:t>
      </w:r>
      <w:r w:rsidR="00130C7A" w:rsidRPr="00130C7A">
        <w:rPr>
          <w:lang w:val="fr-FR"/>
        </w:rPr>
        <w:t>’</w:t>
      </w:r>
      <w:r w:rsidR="00D24A6A" w:rsidRPr="00130C7A">
        <w:rPr>
          <w:lang w:val="fr-FR"/>
        </w:rPr>
        <w:t>audience préliminaire</w:t>
      </w:r>
      <w:r w:rsidR="00783E47" w:rsidRPr="00130C7A">
        <w:rPr>
          <w:lang w:val="fr-FR"/>
        </w:rPr>
        <w:t xml:space="preserve"> (paragraphe</w:t>
      </w:r>
      <w:r w:rsidR="00AD619D" w:rsidRPr="00130C7A">
        <w:rPr>
          <w:lang w:val="fr-FR"/>
        </w:rPr>
        <w:t> </w:t>
      </w:r>
      <w:r w:rsidR="00783E47" w:rsidRPr="00130C7A">
        <w:rPr>
          <w:lang w:val="fr-FR"/>
        </w:rPr>
        <w:t>32 ci-dessus)</w:t>
      </w:r>
      <w:r w:rsidR="00D24A6A" w:rsidRPr="00130C7A">
        <w:rPr>
          <w:lang w:val="fr-FR"/>
        </w:rPr>
        <w:t>. Or l</w:t>
      </w:r>
      <w:r w:rsidR="00130C7A" w:rsidRPr="00130C7A">
        <w:rPr>
          <w:lang w:val="fr-FR"/>
        </w:rPr>
        <w:t>’</w:t>
      </w:r>
      <w:r w:rsidR="00D24A6A" w:rsidRPr="00130C7A">
        <w:rPr>
          <w:lang w:val="fr-FR"/>
        </w:rPr>
        <w:t>audience préliminaire n</w:t>
      </w:r>
      <w:r w:rsidR="00130C7A" w:rsidRPr="00130C7A">
        <w:rPr>
          <w:lang w:val="fr-FR"/>
        </w:rPr>
        <w:t>’</w:t>
      </w:r>
      <w:r w:rsidR="00D24A6A" w:rsidRPr="00130C7A">
        <w:rPr>
          <w:lang w:val="fr-FR"/>
        </w:rPr>
        <w:t>a pas eu lieu en l</w:t>
      </w:r>
      <w:r w:rsidR="00130C7A" w:rsidRPr="00130C7A">
        <w:rPr>
          <w:lang w:val="fr-FR"/>
        </w:rPr>
        <w:t>’</w:t>
      </w:r>
      <w:r w:rsidR="00D24A6A" w:rsidRPr="00130C7A">
        <w:rPr>
          <w:lang w:val="fr-FR"/>
        </w:rPr>
        <w:t>espèce car les poursuites ont été classées au stade des investigations préliminaires en raison de la prescription de l</w:t>
      </w:r>
      <w:r w:rsidR="00130C7A" w:rsidRPr="00130C7A">
        <w:rPr>
          <w:lang w:val="fr-FR"/>
        </w:rPr>
        <w:t>’</w:t>
      </w:r>
      <w:r w:rsidR="00D24A6A" w:rsidRPr="00130C7A">
        <w:rPr>
          <w:lang w:val="fr-FR"/>
        </w:rPr>
        <w:t>infraction</w:t>
      </w:r>
      <w:r w:rsidR="00A75566" w:rsidRPr="00130C7A">
        <w:rPr>
          <w:lang w:val="fr-FR"/>
        </w:rPr>
        <w:t>.</w:t>
      </w:r>
    </w:p>
    <w:p w:rsidR="001E0028" w:rsidRPr="00130C7A" w:rsidRDefault="00AB1503"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55</w:t>
      </w:r>
      <w:r w:rsidRPr="00130C7A">
        <w:rPr>
          <w:lang w:val="fr-FR"/>
        </w:rPr>
        <w:fldChar w:fldCharType="end"/>
      </w:r>
      <w:r w:rsidRPr="00130C7A">
        <w:rPr>
          <w:lang w:val="fr-FR"/>
        </w:rPr>
        <w:t>.  </w:t>
      </w:r>
      <w:r w:rsidR="00A75566" w:rsidRPr="00130C7A">
        <w:rPr>
          <w:lang w:val="fr-FR"/>
        </w:rPr>
        <w:t>Ce</w:t>
      </w:r>
      <w:r w:rsidR="001552F6" w:rsidRPr="00130C7A">
        <w:rPr>
          <w:lang w:val="fr-FR"/>
        </w:rPr>
        <w:t>la ét</w:t>
      </w:r>
      <w:r w:rsidR="00A75566" w:rsidRPr="00130C7A">
        <w:rPr>
          <w:lang w:val="fr-FR"/>
        </w:rPr>
        <w:t>ant, l</w:t>
      </w:r>
      <w:r w:rsidRPr="00130C7A">
        <w:rPr>
          <w:lang w:val="fr-FR"/>
        </w:rPr>
        <w:t>a Cour observe que</w:t>
      </w:r>
      <w:r w:rsidR="00D24A6A" w:rsidRPr="00130C7A">
        <w:rPr>
          <w:lang w:val="fr-FR"/>
        </w:rPr>
        <w:t xml:space="preserve"> </w:t>
      </w:r>
      <w:r w:rsidR="007032C6" w:rsidRPr="00130C7A">
        <w:rPr>
          <w:lang w:val="fr-FR"/>
        </w:rPr>
        <w:t xml:space="preserve">tout au long de </w:t>
      </w:r>
      <w:r w:rsidR="00A75566" w:rsidRPr="00130C7A">
        <w:rPr>
          <w:lang w:val="fr-FR"/>
        </w:rPr>
        <w:t>la</w:t>
      </w:r>
      <w:r w:rsidR="00DA7A22" w:rsidRPr="00130C7A">
        <w:rPr>
          <w:lang w:val="fr-FR"/>
        </w:rPr>
        <w:t xml:space="preserve"> procédure</w:t>
      </w:r>
      <w:r w:rsidR="006A462E" w:rsidRPr="00130C7A">
        <w:rPr>
          <w:lang w:val="fr-FR"/>
        </w:rPr>
        <w:t xml:space="preserve"> pénale</w:t>
      </w:r>
      <w:r w:rsidR="00DB1083" w:rsidRPr="00130C7A">
        <w:rPr>
          <w:lang w:val="fr-FR"/>
        </w:rPr>
        <w:t>,</w:t>
      </w:r>
      <w:r w:rsidR="002F49DC" w:rsidRPr="00130C7A">
        <w:rPr>
          <w:lang w:val="fr-FR"/>
        </w:rPr>
        <w:t xml:space="preserve"> qui s</w:t>
      </w:r>
      <w:r w:rsidR="00130C7A" w:rsidRPr="00130C7A">
        <w:rPr>
          <w:lang w:val="fr-FR"/>
        </w:rPr>
        <w:t>’</w:t>
      </w:r>
      <w:r w:rsidR="002F49DC" w:rsidRPr="00130C7A">
        <w:rPr>
          <w:lang w:val="fr-FR"/>
        </w:rPr>
        <w:t xml:space="preserve">est étalée sur </w:t>
      </w:r>
      <w:r w:rsidR="007032C6" w:rsidRPr="00130C7A">
        <w:rPr>
          <w:lang w:val="fr-FR"/>
        </w:rPr>
        <w:t>presque sept ans,</w:t>
      </w:r>
      <w:r w:rsidR="00DB1083" w:rsidRPr="00130C7A">
        <w:rPr>
          <w:lang w:val="fr-FR"/>
        </w:rPr>
        <w:t xml:space="preserve"> le requérant n</w:t>
      </w:r>
      <w:r w:rsidR="00130C7A" w:rsidRPr="00130C7A">
        <w:rPr>
          <w:lang w:val="fr-FR"/>
        </w:rPr>
        <w:t>’</w:t>
      </w:r>
      <w:r w:rsidR="00DB1083" w:rsidRPr="00130C7A">
        <w:rPr>
          <w:lang w:val="fr-FR"/>
        </w:rPr>
        <w:t>a pas cessé de se prévaloir de</w:t>
      </w:r>
      <w:r w:rsidR="007032C6" w:rsidRPr="00130C7A">
        <w:rPr>
          <w:lang w:val="fr-FR"/>
        </w:rPr>
        <w:t xml:space="preserve"> se</w:t>
      </w:r>
      <w:r w:rsidR="00DB1083" w:rsidRPr="00130C7A">
        <w:rPr>
          <w:lang w:val="fr-FR"/>
        </w:rPr>
        <w:t xml:space="preserve">s </w:t>
      </w:r>
      <w:r w:rsidR="001552F6" w:rsidRPr="00130C7A">
        <w:rPr>
          <w:lang w:val="fr-FR"/>
        </w:rPr>
        <w:t>droits</w:t>
      </w:r>
      <w:r w:rsidR="00DB1083" w:rsidRPr="00130C7A">
        <w:rPr>
          <w:lang w:val="fr-FR"/>
        </w:rPr>
        <w:t xml:space="preserve"> </w:t>
      </w:r>
      <w:r w:rsidR="001552F6" w:rsidRPr="00130C7A">
        <w:rPr>
          <w:lang w:val="fr-FR"/>
        </w:rPr>
        <w:t>en tant que</w:t>
      </w:r>
      <w:r w:rsidR="00DB1083" w:rsidRPr="00130C7A">
        <w:rPr>
          <w:lang w:val="fr-FR"/>
        </w:rPr>
        <w:t xml:space="preserve"> partie lésée pour faire accélérer la procédure et obtenir le</w:t>
      </w:r>
      <w:r w:rsidR="007032C6" w:rsidRPr="00130C7A">
        <w:rPr>
          <w:lang w:val="fr-FR"/>
        </w:rPr>
        <w:t xml:space="preserve"> renvoi en jugement des prévenus</w:t>
      </w:r>
      <w:r w:rsidR="000445B5" w:rsidRPr="00130C7A">
        <w:rPr>
          <w:lang w:val="fr-FR"/>
        </w:rPr>
        <w:t xml:space="preserve"> (paragraphes</w:t>
      </w:r>
      <w:r w:rsidR="00AD619D" w:rsidRPr="00130C7A">
        <w:rPr>
          <w:lang w:val="fr-FR"/>
        </w:rPr>
        <w:t> </w:t>
      </w:r>
      <w:r w:rsidR="003859FC" w:rsidRPr="00130C7A">
        <w:rPr>
          <w:lang w:val="fr-FR"/>
        </w:rPr>
        <w:t>19</w:t>
      </w:r>
      <w:r w:rsidR="000445B5" w:rsidRPr="00130C7A">
        <w:rPr>
          <w:lang w:val="fr-FR"/>
        </w:rPr>
        <w:t>, 2</w:t>
      </w:r>
      <w:r w:rsidR="003859FC" w:rsidRPr="00130C7A">
        <w:rPr>
          <w:lang w:val="fr-FR"/>
        </w:rPr>
        <w:t>2, 25 et 27</w:t>
      </w:r>
      <w:r w:rsidR="00A75566" w:rsidRPr="00130C7A">
        <w:rPr>
          <w:lang w:val="fr-FR"/>
        </w:rPr>
        <w:t xml:space="preserve"> ci</w:t>
      </w:r>
      <w:r w:rsidR="001552F6" w:rsidRPr="00130C7A">
        <w:rPr>
          <w:lang w:val="fr-FR"/>
        </w:rPr>
        <w:noBreakHyphen/>
      </w:r>
      <w:r w:rsidR="00A75566" w:rsidRPr="00130C7A">
        <w:rPr>
          <w:lang w:val="fr-FR"/>
        </w:rPr>
        <w:t xml:space="preserve">dessus). </w:t>
      </w:r>
      <w:r w:rsidR="00A2646C" w:rsidRPr="00130C7A">
        <w:rPr>
          <w:lang w:val="fr-FR"/>
        </w:rPr>
        <w:t>Dès lors</w:t>
      </w:r>
      <w:r w:rsidR="00DB1083" w:rsidRPr="00130C7A">
        <w:rPr>
          <w:lang w:val="fr-FR"/>
        </w:rPr>
        <w:t xml:space="preserve">, </w:t>
      </w:r>
      <w:r w:rsidR="00195B32" w:rsidRPr="00130C7A">
        <w:rPr>
          <w:lang w:val="fr-FR"/>
        </w:rPr>
        <w:t>la non-constitution de partie civile en</w:t>
      </w:r>
      <w:r w:rsidR="001E0028" w:rsidRPr="00130C7A">
        <w:rPr>
          <w:lang w:val="fr-FR"/>
        </w:rPr>
        <w:t xml:space="preserve"> </w:t>
      </w:r>
      <w:r w:rsidR="00195B32" w:rsidRPr="00130C7A">
        <w:rPr>
          <w:lang w:val="fr-FR"/>
        </w:rPr>
        <w:t>raison du cl</w:t>
      </w:r>
      <w:r w:rsidR="007032C6" w:rsidRPr="00130C7A">
        <w:rPr>
          <w:lang w:val="fr-FR"/>
        </w:rPr>
        <w:t>assement</w:t>
      </w:r>
      <w:r w:rsidR="00DB1083" w:rsidRPr="00130C7A">
        <w:rPr>
          <w:lang w:val="fr-FR"/>
        </w:rPr>
        <w:t xml:space="preserve"> de </w:t>
      </w:r>
      <w:r w:rsidR="007032C6" w:rsidRPr="00130C7A">
        <w:rPr>
          <w:lang w:val="fr-FR"/>
        </w:rPr>
        <w:t>l</w:t>
      </w:r>
      <w:r w:rsidR="00130C7A" w:rsidRPr="00130C7A">
        <w:rPr>
          <w:lang w:val="fr-FR"/>
        </w:rPr>
        <w:t>’</w:t>
      </w:r>
      <w:r w:rsidR="007032C6" w:rsidRPr="00130C7A">
        <w:rPr>
          <w:lang w:val="fr-FR"/>
        </w:rPr>
        <w:t>affaire</w:t>
      </w:r>
      <w:r w:rsidR="00DB1083" w:rsidRPr="00130C7A">
        <w:rPr>
          <w:lang w:val="fr-FR"/>
        </w:rPr>
        <w:t xml:space="preserve"> pour cause </w:t>
      </w:r>
      <w:r w:rsidR="00A75566" w:rsidRPr="00130C7A">
        <w:rPr>
          <w:lang w:val="fr-FR"/>
        </w:rPr>
        <w:t xml:space="preserve">de prescription des </w:t>
      </w:r>
      <w:r w:rsidR="00220859" w:rsidRPr="00130C7A">
        <w:rPr>
          <w:lang w:val="fr-FR"/>
        </w:rPr>
        <w:t>faits</w:t>
      </w:r>
      <w:r w:rsidR="00DB1083" w:rsidRPr="00130C7A">
        <w:rPr>
          <w:lang w:val="fr-FR"/>
        </w:rPr>
        <w:t xml:space="preserve"> ne saurait être </w:t>
      </w:r>
      <w:r w:rsidR="00D24A6A" w:rsidRPr="00130C7A">
        <w:rPr>
          <w:lang w:val="fr-FR"/>
        </w:rPr>
        <w:t>mis</w:t>
      </w:r>
      <w:r w:rsidR="003A2981" w:rsidRPr="00130C7A">
        <w:rPr>
          <w:lang w:val="fr-FR"/>
        </w:rPr>
        <w:t>e</w:t>
      </w:r>
      <w:r w:rsidR="00D24A6A" w:rsidRPr="00130C7A">
        <w:rPr>
          <w:lang w:val="fr-FR"/>
        </w:rPr>
        <w:t xml:space="preserve"> à </w:t>
      </w:r>
      <w:r w:rsidR="00195B32" w:rsidRPr="00130C7A">
        <w:rPr>
          <w:lang w:val="fr-FR"/>
        </w:rPr>
        <w:t>l</w:t>
      </w:r>
      <w:r w:rsidR="00D24A6A" w:rsidRPr="00130C7A">
        <w:rPr>
          <w:lang w:val="fr-FR"/>
        </w:rPr>
        <w:t>a charge</w:t>
      </w:r>
      <w:r w:rsidR="00195B32" w:rsidRPr="00130C7A">
        <w:rPr>
          <w:lang w:val="fr-FR"/>
        </w:rPr>
        <w:t xml:space="preserve"> du requérant</w:t>
      </w:r>
      <w:r w:rsidR="00DB1083" w:rsidRPr="00130C7A">
        <w:rPr>
          <w:lang w:val="fr-FR"/>
        </w:rPr>
        <w:t xml:space="preserve"> </w:t>
      </w:r>
      <w:r w:rsidR="00D24A6A" w:rsidRPr="00130C7A">
        <w:rPr>
          <w:lang w:val="fr-FR"/>
        </w:rPr>
        <w:t>dans les circonstances de l</w:t>
      </w:r>
      <w:r w:rsidR="00130C7A" w:rsidRPr="00130C7A">
        <w:rPr>
          <w:lang w:val="fr-FR"/>
        </w:rPr>
        <w:t>’</w:t>
      </w:r>
      <w:r w:rsidR="00D24A6A" w:rsidRPr="00130C7A">
        <w:rPr>
          <w:lang w:val="fr-FR"/>
        </w:rPr>
        <w:t xml:space="preserve">espèce </w:t>
      </w:r>
      <w:r w:rsidR="00DB1083" w:rsidRPr="00130C7A">
        <w:rPr>
          <w:lang w:val="fr-FR"/>
        </w:rPr>
        <w:t>et interprété</w:t>
      </w:r>
      <w:r w:rsidR="003A2981" w:rsidRPr="00130C7A">
        <w:rPr>
          <w:lang w:val="fr-FR"/>
        </w:rPr>
        <w:t>e</w:t>
      </w:r>
      <w:r w:rsidR="00DB1083" w:rsidRPr="00130C7A">
        <w:rPr>
          <w:lang w:val="fr-FR"/>
        </w:rPr>
        <w:t xml:space="preserve"> comme une renonciation de </w:t>
      </w:r>
      <w:r w:rsidR="00195B32" w:rsidRPr="00130C7A">
        <w:rPr>
          <w:lang w:val="fr-FR"/>
        </w:rPr>
        <w:t>l</w:t>
      </w:r>
      <w:r w:rsidR="00635DDE" w:rsidRPr="00130C7A">
        <w:rPr>
          <w:lang w:val="fr-FR"/>
        </w:rPr>
        <w:t>a part</w:t>
      </w:r>
      <w:r w:rsidR="00DB1083" w:rsidRPr="00130C7A">
        <w:rPr>
          <w:lang w:val="fr-FR"/>
        </w:rPr>
        <w:t xml:space="preserve"> </w:t>
      </w:r>
      <w:r w:rsidR="00195B32" w:rsidRPr="00130C7A">
        <w:rPr>
          <w:lang w:val="fr-FR"/>
        </w:rPr>
        <w:t>de l</w:t>
      </w:r>
      <w:r w:rsidR="00130C7A" w:rsidRPr="00130C7A">
        <w:rPr>
          <w:lang w:val="fr-FR"/>
        </w:rPr>
        <w:t>’</w:t>
      </w:r>
      <w:r w:rsidR="00195B32" w:rsidRPr="00130C7A">
        <w:rPr>
          <w:lang w:val="fr-FR"/>
        </w:rPr>
        <w:t xml:space="preserve">intéressé </w:t>
      </w:r>
      <w:r w:rsidR="00DB1083" w:rsidRPr="00130C7A">
        <w:rPr>
          <w:lang w:val="fr-FR"/>
        </w:rPr>
        <w:t>à faire valoir ses droits</w:t>
      </w:r>
      <w:r w:rsidR="00666AF7" w:rsidRPr="00130C7A">
        <w:rPr>
          <w:lang w:val="fr-FR"/>
        </w:rPr>
        <w:t xml:space="preserve"> </w:t>
      </w:r>
      <w:r w:rsidR="00DE5E0D" w:rsidRPr="00130C7A">
        <w:rPr>
          <w:lang w:val="fr-FR"/>
        </w:rPr>
        <w:t>de</w:t>
      </w:r>
      <w:r w:rsidR="00666AF7" w:rsidRPr="00130C7A">
        <w:rPr>
          <w:lang w:val="fr-FR"/>
        </w:rPr>
        <w:t xml:space="preserve"> victime</w:t>
      </w:r>
      <w:r w:rsidR="00DB1083" w:rsidRPr="00130C7A">
        <w:rPr>
          <w:lang w:val="fr-FR"/>
        </w:rPr>
        <w:t>.</w:t>
      </w:r>
    </w:p>
    <w:p w:rsidR="001E0028" w:rsidRPr="00130C7A" w:rsidRDefault="00D24A6A" w:rsidP="00130C7A">
      <w:pPr>
        <w:pStyle w:val="ECHRPara"/>
        <w:rPr>
          <w:lang w:val="fr-FR"/>
        </w:rPr>
      </w:pPr>
      <w:r w:rsidRPr="00130C7A">
        <w:fldChar w:fldCharType="begin"/>
      </w:r>
      <w:r w:rsidRPr="00130C7A">
        <w:rPr>
          <w:lang w:val="fr-FR"/>
        </w:rPr>
        <w:instrText xml:space="preserve"> SEQ level0 \*arabic </w:instrText>
      </w:r>
      <w:r w:rsidRPr="00130C7A">
        <w:fldChar w:fldCharType="separate"/>
      </w:r>
      <w:r w:rsidR="00130C7A" w:rsidRPr="00130C7A">
        <w:rPr>
          <w:noProof/>
          <w:lang w:val="fr-FR"/>
        </w:rPr>
        <w:t>56</w:t>
      </w:r>
      <w:r w:rsidRPr="00130C7A">
        <w:fldChar w:fldCharType="end"/>
      </w:r>
      <w:r w:rsidRPr="00130C7A">
        <w:rPr>
          <w:lang w:val="fr-FR"/>
        </w:rPr>
        <w:t xml:space="preserve">.  Quant à la thèse selon laquelle le requérant aurait dû </w:t>
      </w:r>
      <w:r w:rsidR="006B23C3" w:rsidRPr="00130C7A">
        <w:rPr>
          <w:lang w:val="fr-FR"/>
        </w:rPr>
        <w:t>intenter une action distincte au civil pour satisfaire à l</w:t>
      </w:r>
      <w:r w:rsidR="00130C7A" w:rsidRPr="00130C7A">
        <w:rPr>
          <w:lang w:val="fr-FR"/>
        </w:rPr>
        <w:t>’</w:t>
      </w:r>
      <w:r w:rsidR="006B23C3" w:rsidRPr="00130C7A">
        <w:rPr>
          <w:lang w:val="fr-FR"/>
        </w:rPr>
        <w:t xml:space="preserve">exigence du non-épuisement des voies de recours internes, la </w:t>
      </w:r>
      <w:r w:rsidR="00AB1503" w:rsidRPr="00130C7A">
        <w:rPr>
          <w:lang w:val="fr-FR"/>
        </w:rPr>
        <w:t xml:space="preserve">Cour note </w:t>
      </w:r>
      <w:r w:rsidR="006A462E" w:rsidRPr="00130C7A">
        <w:rPr>
          <w:lang w:val="fr-FR"/>
        </w:rPr>
        <w:t>d</w:t>
      </w:r>
      <w:r w:rsidR="00130C7A" w:rsidRPr="00130C7A">
        <w:rPr>
          <w:lang w:val="fr-FR"/>
        </w:rPr>
        <w:t>’</w:t>
      </w:r>
      <w:r w:rsidR="006A462E" w:rsidRPr="00130C7A">
        <w:rPr>
          <w:lang w:val="fr-FR"/>
        </w:rPr>
        <w:t>emblée</w:t>
      </w:r>
      <w:r w:rsidR="002226F5" w:rsidRPr="00130C7A">
        <w:rPr>
          <w:lang w:val="fr-FR"/>
        </w:rPr>
        <w:t xml:space="preserve"> </w:t>
      </w:r>
      <w:r w:rsidR="00AA1836" w:rsidRPr="00130C7A">
        <w:rPr>
          <w:lang w:val="fr-FR"/>
        </w:rPr>
        <w:t xml:space="preserve">que </w:t>
      </w:r>
      <w:r w:rsidR="00A75566" w:rsidRPr="00130C7A">
        <w:rPr>
          <w:lang w:val="fr-FR"/>
        </w:rPr>
        <w:t xml:space="preserve">selon </w:t>
      </w:r>
      <w:r w:rsidR="00AA1836" w:rsidRPr="00130C7A">
        <w:rPr>
          <w:lang w:val="fr-FR"/>
        </w:rPr>
        <w:t xml:space="preserve">le Gouvernement </w:t>
      </w:r>
      <w:r w:rsidR="002226F5" w:rsidRPr="00130C7A">
        <w:rPr>
          <w:lang w:val="fr-FR"/>
        </w:rPr>
        <w:t>le remède civil était ac</w:t>
      </w:r>
      <w:r w:rsidR="00305524" w:rsidRPr="00130C7A">
        <w:rPr>
          <w:lang w:val="fr-FR"/>
        </w:rPr>
        <w:t>cessible au requérant jusqu</w:t>
      </w:r>
      <w:r w:rsidR="00130C7A" w:rsidRPr="00130C7A">
        <w:rPr>
          <w:lang w:val="fr-FR"/>
        </w:rPr>
        <w:t>’</w:t>
      </w:r>
      <w:r w:rsidR="00305524" w:rsidRPr="00130C7A">
        <w:rPr>
          <w:lang w:val="fr-FR"/>
        </w:rPr>
        <w:t>au 29</w:t>
      </w:r>
      <w:r w:rsidR="00AD619D" w:rsidRPr="00130C7A">
        <w:rPr>
          <w:lang w:val="fr-FR"/>
        </w:rPr>
        <w:t> </w:t>
      </w:r>
      <w:r w:rsidR="00305524" w:rsidRPr="00130C7A">
        <w:rPr>
          <w:lang w:val="fr-FR"/>
        </w:rPr>
        <w:t>mai</w:t>
      </w:r>
      <w:r w:rsidR="00AD619D" w:rsidRPr="00130C7A">
        <w:rPr>
          <w:lang w:val="fr-FR"/>
        </w:rPr>
        <w:t> </w:t>
      </w:r>
      <w:r w:rsidR="002226F5" w:rsidRPr="00130C7A">
        <w:rPr>
          <w:lang w:val="fr-FR"/>
        </w:rPr>
        <w:t xml:space="preserve">2011 (paragraphe </w:t>
      </w:r>
      <w:r w:rsidR="00667BA5" w:rsidRPr="00130C7A">
        <w:rPr>
          <w:lang w:val="fr-FR"/>
        </w:rPr>
        <w:t>4</w:t>
      </w:r>
      <w:r w:rsidR="001A1561" w:rsidRPr="00130C7A">
        <w:rPr>
          <w:lang w:val="fr-FR"/>
        </w:rPr>
        <w:t>3</w:t>
      </w:r>
      <w:r w:rsidR="00667BA5" w:rsidRPr="00130C7A">
        <w:rPr>
          <w:lang w:val="fr-FR"/>
        </w:rPr>
        <w:t xml:space="preserve"> </w:t>
      </w:r>
      <w:r w:rsidR="002226F5" w:rsidRPr="00130C7A">
        <w:rPr>
          <w:lang w:val="fr-FR"/>
        </w:rPr>
        <w:t>ci-dessus)</w:t>
      </w:r>
      <w:r w:rsidR="00305524" w:rsidRPr="00130C7A">
        <w:rPr>
          <w:lang w:val="fr-FR"/>
        </w:rPr>
        <w:t xml:space="preserve">. </w:t>
      </w:r>
      <w:r w:rsidR="00DA7A22" w:rsidRPr="00130C7A">
        <w:rPr>
          <w:lang w:val="fr-FR"/>
        </w:rPr>
        <w:t>Il s</w:t>
      </w:r>
      <w:r w:rsidR="00130C7A" w:rsidRPr="00130C7A">
        <w:rPr>
          <w:lang w:val="fr-FR"/>
        </w:rPr>
        <w:t>’</w:t>
      </w:r>
      <w:r w:rsidR="00DA7A22" w:rsidRPr="00130C7A">
        <w:rPr>
          <w:lang w:val="fr-FR"/>
        </w:rPr>
        <w:t>ensuit que</w:t>
      </w:r>
      <w:r w:rsidR="00635DDE" w:rsidRPr="00130C7A">
        <w:rPr>
          <w:lang w:val="fr-FR"/>
        </w:rPr>
        <w:t>,</w:t>
      </w:r>
      <w:r w:rsidR="002226F5" w:rsidRPr="00130C7A">
        <w:rPr>
          <w:lang w:val="fr-FR"/>
        </w:rPr>
        <w:t xml:space="preserve"> lo</w:t>
      </w:r>
      <w:r w:rsidRPr="00130C7A">
        <w:rPr>
          <w:lang w:val="fr-FR"/>
        </w:rPr>
        <w:t>rs de la clôture de la procédure pénale</w:t>
      </w:r>
      <w:r w:rsidR="00AB1503" w:rsidRPr="00130C7A">
        <w:rPr>
          <w:lang w:val="fr-FR"/>
        </w:rPr>
        <w:t xml:space="preserve"> en décembre 2012</w:t>
      </w:r>
      <w:r w:rsidR="00E63635" w:rsidRPr="00130C7A">
        <w:rPr>
          <w:lang w:val="fr-FR"/>
        </w:rPr>
        <w:t>,</w:t>
      </w:r>
      <w:r w:rsidRPr="00130C7A">
        <w:rPr>
          <w:lang w:val="fr-FR"/>
        </w:rPr>
        <w:t xml:space="preserve"> le délai pour l</w:t>
      </w:r>
      <w:r w:rsidR="00130C7A" w:rsidRPr="00130C7A">
        <w:rPr>
          <w:lang w:val="fr-FR"/>
        </w:rPr>
        <w:t>’</w:t>
      </w:r>
      <w:r w:rsidRPr="00130C7A">
        <w:rPr>
          <w:lang w:val="fr-FR"/>
        </w:rPr>
        <w:t>introduction d</w:t>
      </w:r>
      <w:r w:rsidR="00130C7A" w:rsidRPr="00130C7A">
        <w:rPr>
          <w:lang w:val="fr-FR"/>
        </w:rPr>
        <w:t>’</w:t>
      </w:r>
      <w:r w:rsidRPr="00130C7A">
        <w:rPr>
          <w:lang w:val="fr-FR"/>
        </w:rPr>
        <w:t xml:space="preserve">une action en dommage-intérêts était </w:t>
      </w:r>
      <w:r w:rsidR="004100C5" w:rsidRPr="00130C7A">
        <w:rPr>
          <w:lang w:val="fr-FR"/>
        </w:rPr>
        <w:t>expiré</w:t>
      </w:r>
      <w:r w:rsidRPr="00130C7A">
        <w:rPr>
          <w:lang w:val="fr-FR"/>
        </w:rPr>
        <w:t xml:space="preserve"> depuis plusieurs mois, si bien qu</w:t>
      </w:r>
      <w:r w:rsidR="00130C7A" w:rsidRPr="00130C7A">
        <w:rPr>
          <w:lang w:val="fr-FR"/>
        </w:rPr>
        <w:t>’</w:t>
      </w:r>
      <w:r w:rsidRPr="00130C7A">
        <w:rPr>
          <w:lang w:val="fr-FR"/>
        </w:rPr>
        <w:t>une telle voie de recours ne s</w:t>
      </w:r>
      <w:r w:rsidR="00130C7A" w:rsidRPr="00130C7A">
        <w:rPr>
          <w:lang w:val="fr-FR"/>
        </w:rPr>
        <w:t>’</w:t>
      </w:r>
      <w:r w:rsidRPr="00130C7A">
        <w:rPr>
          <w:lang w:val="fr-FR"/>
        </w:rPr>
        <w:t xml:space="preserve">offrait plus au requérant une fois </w:t>
      </w:r>
      <w:r w:rsidR="00A61986" w:rsidRPr="00130C7A">
        <w:rPr>
          <w:lang w:val="fr-FR"/>
        </w:rPr>
        <w:t>écarté</w:t>
      </w:r>
      <w:r w:rsidR="00635DDE" w:rsidRPr="00130C7A">
        <w:rPr>
          <w:lang w:val="fr-FR"/>
        </w:rPr>
        <w:t>e</w:t>
      </w:r>
      <w:r w:rsidR="00A61986" w:rsidRPr="00130C7A">
        <w:rPr>
          <w:lang w:val="fr-FR"/>
        </w:rPr>
        <w:t xml:space="preserve"> l</w:t>
      </w:r>
      <w:r w:rsidR="00130C7A" w:rsidRPr="00130C7A">
        <w:rPr>
          <w:lang w:val="fr-FR"/>
        </w:rPr>
        <w:t>’</w:t>
      </w:r>
      <w:r w:rsidR="00241B98" w:rsidRPr="00130C7A">
        <w:rPr>
          <w:lang w:val="fr-FR"/>
        </w:rPr>
        <w:t>existe</w:t>
      </w:r>
      <w:r w:rsidR="00AB1503" w:rsidRPr="00130C7A">
        <w:rPr>
          <w:lang w:val="fr-FR"/>
        </w:rPr>
        <w:t>nce d</w:t>
      </w:r>
      <w:r w:rsidR="00130C7A" w:rsidRPr="00130C7A">
        <w:rPr>
          <w:lang w:val="fr-FR"/>
        </w:rPr>
        <w:t>’</w:t>
      </w:r>
      <w:r w:rsidR="00AB1503" w:rsidRPr="00130C7A">
        <w:rPr>
          <w:lang w:val="fr-FR"/>
        </w:rPr>
        <w:t xml:space="preserve">infractions pénales </w:t>
      </w:r>
      <w:r w:rsidR="00C83599" w:rsidRPr="00130C7A">
        <w:rPr>
          <w:lang w:val="fr-FR"/>
        </w:rPr>
        <w:t>(</w:t>
      </w:r>
      <w:r w:rsidR="00635DDE" w:rsidRPr="00130C7A">
        <w:rPr>
          <w:lang w:val="fr-FR"/>
        </w:rPr>
        <w:t xml:space="preserve">voir, </w:t>
      </w:r>
      <w:r w:rsidR="00C83599" w:rsidRPr="00130C7A">
        <w:rPr>
          <w:i/>
          <w:lang w:val="fr-FR"/>
        </w:rPr>
        <w:t>a contrario</w:t>
      </w:r>
      <w:r w:rsidR="00C83599" w:rsidRPr="00130C7A">
        <w:rPr>
          <w:lang w:val="fr-FR"/>
        </w:rPr>
        <w:t xml:space="preserve">, </w:t>
      </w:r>
      <w:proofErr w:type="spellStart"/>
      <w:r w:rsidR="00C83599" w:rsidRPr="00130C7A">
        <w:rPr>
          <w:i/>
          <w:lang w:val="fr-FR"/>
        </w:rPr>
        <w:t>Benmouna</w:t>
      </w:r>
      <w:proofErr w:type="spellEnd"/>
      <w:r w:rsidR="00C83599" w:rsidRPr="00130C7A">
        <w:rPr>
          <w:i/>
          <w:lang w:val="fr-FR"/>
        </w:rPr>
        <w:t xml:space="preserve"> et autres c.</w:t>
      </w:r>
      <w:r w:rsidR="00AD619D" w:rsidRPr="00130C7A">
        <w:rPr>
          <w:i/>
          <w:lang w:val="fr-FR"/>
        </w:rPr>
        <w:t> </w:t>
      </w:r>
      <w:r w:rsidR="00C83599" w:rsidRPr="00130C7A">
        <w:rPr>
          <w:i/>
          <w:lang w:val="fr-FR"/>
        </w:rPr>
        <w:t>France</w:t>
      </w:r>
      <w:r w:rsidR="00A61986" w:rsidRPr="00130C7A">
        <w:rPr>
          <w:lang w:val="fr-FR"/>
        </w:rPr>
        <w:t xml:space="preserve"> (déc.), </w:t>
      </w:r>
      <w:r w:rsidR="00C83599" w:rsidRPr="00130C7A">
        <w:rPr>
          <w:lang w:val="fr-FR"/>
        </w:rPr>
        <w:t>n</w:t>
      </w:r>
      <w:r w:rsidR="001E0028" w:rsidRPr="00130C7A">
        <w:rPr>
          <w:vertAlign w:val="superscript"/>
          <w:lang w:val="fr-FR"/>
        </w:rPr>
        <w:t>o</w:t>
      </w:r>
      <w:r w:rsidR="00C83599" w:rsidRPr="00130C7A">
        <w:rPr>
          <w:lang w:val="fr-FR"/>
        </w:rPr>
        <w:t> 51097/13, §§ 48 et 52, et</w:t>
      </w:r>
      <w:r w:rsidR="00D96B62" w:rsidRPr="00130C7A">
        <w:rPr>
          <w:lang w:val="fr-FR"/>
        </w:rPr>
        <w:t>,</w:t>
      </w:r>
      <w:r w:rsidR="00C83599" w:rsidRPr="00130C7A">
        <w:rPr>
          <w:lang w:val="fr-FR"/>
        </w:rPr>
        <w:t xml:space="preserve"> </w:t>
      </w:r>
      <w:r w:rsidR="00C83599" w:rsidRPr="00130C7A">
        <w:rPr>
          <w:i/>
          <w:lang w:val="fr-FR"/>
        </w:rPr>
        <w:t xml:space="preserve">mutatis mutandis, </w:t>
      </w:r>
      <w:proofErr w:type="spellStart"/>
      <w:r w:rsidR="00910B04" w:rsidRPr="00130C7A">
        <w:rPr>
          <w:i/>
          <w:lang w:val="fr-FR"/>
        </w:rPr>
        <w:t>Dumpe</w:t>
      </w:r>
      <w:proofErr w:type="spellEnd"/>
      <w:r w:rsidR="00C83599" w:rsidRPr="00130C7A">
        <w:rPr>
          <w:i/>
          <w:lang w:val="fr-FR"/>
        </w:rPr>
        <w:t xml:space="preserve"> c.</w:t>
      </w:r>
      <w:r w:rsidR="00AD619D" w:rsidRPr="00130C7A">
        <w:rPr>
          <w:i/>
          <w:lang w:val="fr-FR"/>
        </w:rPr>
        <w:t> </w:t>
      </w:r>
      <w:r w:rsidR="00910B04" w:rsidRPr="00130C7A">
        <w:rPr>
          <w:i/>
          <w:lang w:val="fr-FR"/>
        </w:rPr>
        <w:t>Lettonie</w:t>
      </w:r>
      <w:r w:rsidR="00C83599" w:rsidRPr="00130C7A">
        <w:rPr>
          <w:lang w:val="fr-FR"/>
        </w:rPr>
        <w:t xml:space="preserve"> (déc.), n</w:t>
      </w:r>
      <w:r w:rsidR="001E0028" w:rsidRPr="00130C7A">
        <w:rPr>
          <w:vertAlign w:val="superscript"/>
          <w:lang w:val="fr-FR"/>
        </w:rPr>
        <w:t>o</w:t>
      </w:r>
      <w:r w:rsidR="000C2B43" w:rsidRPr="00130C7A">
        <w:rPr>
          <w:lang w:val="fr-FR"/>
        </w:rPr>
        <w:t> </w:t>
      </w:r>
      <w:r w:rsidR="00910B04" w:rsidRPr="00130C7A">
        <w:rPr>
          <w:lang w:val="fr-FR"/>
        </w:rPr>
        <w:t>71506/13</w:t>
      </w:r>
      <w:r w:rsidR="00C83599" w:rsidRPr="00130C7A">
        <w:rPr>
          <w:lang w:val="fr-FR"/>
        </w:rPr>
        <w:t xml:space="preserve">, CEDH </w:t>
      </w:r>
      <w:r w:rsidR="00910B04" w:rsidRPr="00130C7A">
        <w:rPr>
          <w:lang w:val="fr-FR"/>
        </w:rPr>
        <w:t>16 octobre 2018</w:t>
      </w:r>
      <w:r w:rsidR="00C83599" w:rsidRPr="00130C7A">
        <w:rPr>
          <w:lang w:val="fr-FR"/>
        </w:rPr>
        <w:t>)</w:t>
      </w:r>
    </w:p>
    <w:p w:rsidR="00A2646C" w:rsidRPr="00130C7A" w:rsidRDefault="00E63635" w:rsidP="00130C7A">
      <w:pPr>
        <w:pStyle w:val="ECHRPara"/>
        <w:keepNext/>
        <w:keepLines/>
        <w:rPr>
          <w:lang w:val="fr-FR"/>
        </w:rPr>
      </w:pPr>
      <w:r w:rsidRPr="00130C7A">
        <w:rPr>
          <w:lang w:val="fr-FR"/>
        </w:rPr>
        <w:lastRenderedPageBreak/>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57</w:t>
      </w:r>
      <w:r w:rsidRPr="00130C7A">
        <w:rPr>
          <w:lang w:val="fr-FR"/>
        </w:rPr>
        <w:fldChar w:fldCharType="end"/>
      </w:r>
      <w:r w:rsidRPr="00130C7A">
        <w:rPr>
          <w:lang w:val="fr-FR"/>
        </w:rPr>
        <w:t>.  </w:t>
      </w:r>
      <w:r w:rsidR="0031300D" w:rsidRPr="00130C7A">
        <w:rPr>
          <w:lang w:val="fr-FR"/>
        </w:rPr>
        <w:t>La</w:t>
      </w:r>
      <w:r w:rsidRPr="00130C7A">
        <w:rPr>
          <w:lang w:val="fr-FR"/>
        </w:rPr>
        <w:t xml:space="preserve"> Cour </w:t>
      </w:r>
      <w:r w:rsidR="0031300D" w:rsidRPr="00130C7A">
        <w:rPr>
          <w:lang w:val="fr-FR"/>
        </w:rPr>
        <w:t>considère</w:t>
      </w:r>
      <w:r w:rsidRPr="00130C7A">
        <w:rPr>
          <w:lang w:val="fr-FR"/>
        </w:rPr>
        <w:t xml:space="preserve"> </w:t>
      </w:r>
      <w:r w:rsidR="00E80317" w:rsidRPr="00130C7A">
        <w:rPr>
          <w:lang w:val="fr-FR"/>
        </w:rPr>
        <w:t>qu</w:t>
      </w:r>
      <w:r w:rsidR="00130C7A" w:rsidRPr="00130C7A">
        <w:rPr>
          <w:lang w:val="fr-FR"/>
        </w:rPr>
        <w:t>’</w:t>
      </w:r>
      <w:r w:rsidR="00AB1503" w:rsidRPr="00130C7A">
        <w:rPr>
          <w:lang w:val="fr-FR"/>
        </w:rPr>
        <w:t xml:space="preserve">il </w:t>
      </w:r>
      <w:r w:rsidR="006C6433" w:rsidRPr="00130C7A">
        <w:rPr>
          <w:lang w:val="fr-FR"/>
        </w:rPr>
        <w:t>aurait été</w:t>
      </w:r>
      <w:r w:rsidR="00AB1503" w:rsidRPr="00130C7A">
        <w:rPr>
          <w:lang w:val="fr-FR"/>
        </w:rPr>
        <w:t xml:space="preserve"> déraisonnable de </w:t>
      </w:r>
      <w:r w:rsidR="006C6433" w:rsidRPr="00130C7A">
        <w:rPr>
          <w:lang w:val="fr-FR"/>
        </w:rPr>
        <w:t>s</w:t>
      </w:r>
      <w:r w:rsidR="00130C7A" w:rsidRPr="00130C7A">
        <w:rPr>
          <w:lang w:val="fr-FR"/>
        </w:rPr>
        <w:t>’</w:t>
      </w:r>
      <w:r w:rsidR="006C6433" w:rsidRPr="00130C7A">
        <w:rPr>
          <w:lang w:val="fr-FR"/>
        </w:rPr>
        <w:t xml:space="preserve">attendre à ce </w:t>
      </w:r>
      <w:r w:rsidR="00AB1503" w:rsidRPr="00130C7A">
        <w:rPr>
          <w:lang w:val="fr-FR"/>
        </w:rPr>
        <w:t>que le requérant anticip</w:t>
      </w:r>
      <w:r w:rsidR="006C6433" w:rsidRPr="00130C7A">
        <w:rPr>
          <w:lang w:val="fr-FR"/>
        </w:rPr>
        <w:t>ât</w:t>
      </w:r>
      <w:r w:rsidR="00AB1503" w:rsidRPr="00130C7A">
        <w:rPr>
          <w:lang w:val="fr-FR"/>
        </w:rPr>
        <w:t xml:space="preserve"> l</w:t>
      </w:r>
      <w:r w:rsidR="00130C7A" w:rsidRPr="00130C7A">
        <w:rPr>
          <w:lang w:val="fr-FR"/>
        </w:rPr>
        <w:t>’</w:t>
      </w:r>
      <w:r w:rsidR="00AB1503" w:rsidRPr="00130C7A">
        <w:rPr>
          <w:lang w:val="fr-FR"/>
        </w:rPr>
        <w:t>issue défavorable de la procédure pénale et sais</w:t>
      </w:r>
      <w:r w:rsidR="00375AAF" w:rsidRPr="00130C7A">
        <w:rPr>
          <w:lang w:val="fr-FR"/>
        </w:rPr>
        <w:t>ît</w:t>
      </w:r>
      <w:r w:rsidR="00AB1503" w:rsidRPr="00130C7A">
        <w:rPr>
          <w:lang w:val="fr-FR"/>
        </w:rPr>
        <w:t xml:space="preserve"> le juge civil dans le délai </w:t>
      </w:r>
      <w:r w:rsidR="0015200D" w:rsidRPr="00130C7A">
        <w:rPr>
          <w:lang w:val="fr-FR"/>
        </w:rPr>
        <w:t xml:space="preserve">imparti à cet effet. </w:t>
      </w:r>
      <w:r w:rsidR="00A2646C" w:rsidRPr="00130C7A">
        <w:rPr>
          <w:lang w:val="fr-FR"/>
        </w:rPr>
        <w:t>Elle</w:t>
      </w:r>
      <w:r w:rsidR="0015200D" w:rsidRPr="00130C7A">
        <w:rPr>
          <w:lang w:val="fr-FR"/>
        </w:rPr>
        <w:t xml:space="preserve"> note </w:t>
      </w:r>
      <w:r w:rsidR="00A2646C" w:rsidRPr="00130C7A">
        <w:rPr>
          <w:lang w:val="fr-FR"/>
        </w:rPr>
        <w:t>par ailleurs</w:t>
      </w:r>
      <w:r w:rsidRPr="00130C7A">
        <w:rPr>
          <w:lang w:val="fr-FR"/>
        </w:rPr>
        <w:t xml:space="preserve"> </w:t>
      </w:r>
      <w:r w:rsidR="0015200D" w:rsidRPr="00130C7A">
        <w:rPr>
          <w:lang w:val="fr-FR"/>
        </w:rPr>
        <w:t>que</w:t>
      </w:r>
      <w:r w:rsidR="0072147F" w:rsidRPr="00130C7A">
        <w:rPr>
          <w:lang w:val="fr-FR"/>
        </w:rPr>
        <w:t>,</w:t>
      </w:r>
      <w:r w:rsidR="0015200D" w:rsidRPr="00130C7A">
        <w:rPr>
          <w:lang w:val="fr-FR"/>
        </w:rPr>
        <w:t xml:space="preserve"> </w:t>
      </w:r>
      <w:r w:rsidR="00DE5E0D" w:rsidRPr="00130C7A">
        <w:rPr>
          <w:lang w:val="fr-FR"/>
        </w:rPr>
        <w:t>jusqu</w:t>
      </w:r>
      <w:r w:rsidR="00130C7A" w:rsidRPr="00130C7A">
        <w:rPr>
          <w:lang w:val="fr-FR"/>
        </w:rPr>
        <w:t>’</w:t>
      </w:r>
      <w:r w:rsidR="00DE5E0D" w:rsidRPr="00130C7A">
        <w:rPr>
          <w:lang w:val="fr-FR"/>
        </w:rPr>
        <w:t xml:space="preserve">à son classement pour cause de prescription, </w:t>
      </w:r>
      <w:r w:rsidR="0015200D" w:rsidRPr="00130C7A">
        <w:rPr>
          <w:lang w:val="fr-FR"/>
        </w:rPr>
        <w:t>la procédure pénale</w:t>
      </w:r>
      <w:r w:rsidR="00DE5E0D" w:rsidRPr="00130C7A">
        <w:rPr>
          <w:lang w:val="fr-FR"/>
        </w:rPr>
        <w:t xml:space="preserve"> </w:t>
      </w:r>
      <w:r w:rsidR="0015200D" w:rsidRPr="00130C7A">
        <w:rPr>
          <w:lang w:val="fr-FR"/>
        </w:rPr>
        <w:t>n</w:t>
      </w:r>
      <w:r w:rsidR="00130C7A" w:rsidRPr="00130C7A">
        <w:rPr>
          <w:lang w:val="fr-FR"/>
        </w:rPr>
        <w:t>’</w:t>
      </w:r>
      <w:r w:rsidR="0015200D" w:rsidRPr="00130C7A">
        <w:rPr>
          <w:lang w:val="fr-FR"/>
        </w:rPr>
        <w:t xml:space="preserve">était pas manifestement </w:t>
      </w:r>
      <w:r w:rsidR="007032C6" w:rsidRPr="00130C7A">
        <w:rPr>
          <w:lang w:val="fr-FR"/>
        </w:rPr>
        <w:t>voué</w:t>
      </w:r>
      <w:r w:rsidR="009C6E17" w:rsidRPr="00130C7A">
        <w:rPr>
          <w:lang w:val="fr-FR"/>
        </w:rPr>
        <w:t>e</w:t>
      </w:r>
      <w:r w:rsidR="007032C6" w:rsidRPr="00130C7A">
        <w:rPr>
          <w:lang w:val="fr-FR"/>
        </w:rPr>
        <w:t xml:space="preserve"> à l</w:t>
      </w:r>
      <w:r w:rsidR="00130C7A" w:rsidRPr="00130C7A">
        <w:rPr>
          <w:lang w:val="fr-FR"/>
        </w:rPr>
        <w:t>’</w:t>
      </w:r>
      <w:r w:rsidR="007032C6" w:rsidRPr="00130C7A">
        <w:rPr>
          <w:lang w:val="fr-FR"/>
        </w:rPr>
        <w:t>échec</w:t>
      </w:r>
      <w:r w:rsidR="0015200D" w:rsidRPr="00130C7A">
        <w:rPr>
          <w:lang w:val="fr-FR"/>
        </w:rPr>
        <w:t xml:space="preserve">, </w:t>
      </w:r>
      <w:r w:rsidR="0072147F" w:rsidRPr="00130C7A">
        <w:rPr>
          <w:lang w:val="fr-FR"/>
        </w:rPr>
        <w:t>étant donné qu</w:t>
      </w:r>
      <w:r w:rsidR="00130C7A" w:rsidRPr="00130C7A">
        <w:rPr>
          <w:lang w:val="fr-FR"/>
        </w:rPr>
        <w:t>’</w:t>
      </w:r>
      <w:r w:rsidR="0072147F" w:rsidRPr="00130C7A">
        <w:rPr>
          <w:lang w:val="fr-FR"/>
        </w:rPr>
        <w:t>elle a abouti</w:t>
      </w:r>
      <w:r w:rsidR="0015200D" w:rsidRPr="00130C7A">
        <w:rPr>
          <w:lang w:val="fr-FR"/>
        </w:rPr>
        <w:t xml:space="preserve"> à une</w:t>
      </w:r>
      <w:r w:rsidRPr="00130C7A">
        <w:rPr>
          <w:lang w:val="fr-FR"/>
        </w:rPr>
        <w:t xml:space="preserve"> première</w:t>
      </w:r>
      <w:r w:rsidR="0015200D" w:rsidRPr="00130C7A">
        <w:rPr>
          <w:lang w:val="fr-FR"/>
        </w:rPr>
        <w:t xml:space="preserve"> décision du juge des investigations préliminaires </w:t>
      </w:r>
      <w:r w:rsidR="0072147F" w:rsidRPr="00130C7A">
        <w:rPr>
          <w:lang w:val="fr-FR"/>
        </w:rPr>
        <w:t xml:space="preserve">portant rejet de </w:t>
      </w:r>
      <w:r w:rsidR="00A56B99" w:rsidRPr="00130C7A">
        <w:rPr>
          <w:lang w:val="fr-FR"/>
        </w:rPr>
        <w:t>la demande de classement du parquet et ord</w:t>
      </w:r>
      <w:r w:rsidR="009C6E17" w:rsidRPr="00130C7A">
        <w:rPr>
          <w:lang w:val="fr-FR"/>
        </w:rPr>
        <w:t>re de mener</w:t>
      </w:r>
      <w:r w:rsidR="00A56B99" w:rsidRPr="00130C7A">
        <w:rPr>
          <w:lang w:val="fr-FR"/>
        </w:rPr>
        <w:t xml:space="preserve"> d</w:t>
      </w:r>
      <w:r w:rsidR="00130C7A" w:rsidRPr="00130C7A">
        <w:rPr>
          <w:lang w:val="fr-FR"/>
        </w:rPr>
        <w:t>’</w:t>
      </w:r>
      <w:r w:rsidR="00BB522A" w:rsidRPr="00130C7A">
        <w:rPr>
          <w:lang w:val="fr-FR"/>
        </w:rPr>
        <w:t xml:space="preserve">autres investigations </w:t>
      </w:r>
      <w:r w:rsidR="000E6CBE" w:rsidRPr="00130C7A">
        <w:rPr>
          <w:lang w:val="fr-FR"/>
        </w:rPr>
        <w:t>dans le but d</w:t>
      </w:r>
      <w:r w:rsidR="00130C7A" w:rsidRPr="00130C7A">
        <w:rPr>
          <w:lang w:val="fr-FR"/>
        </w:rPr>
        <w:t>’</w:t>
      </w:r>
      <w:r w:rsidR="00305524" w:rsidRPr="00130C7A">
        <w:rPr>
          <w:lang w:val="fr-FR"/>
        </w:rPr>
        <w:t>élucider les fait</w:t>
      </w:r>
      <w:r w:rsidR="000E6CBE" w:rsidRPr="00130C7A">
        <w:rPr>
          <w:lang w:val="fr-FR"/>
        </w:rPr>
        <w:t>s et de</w:t>
      </w:r>
      <w:r w:rsidR="00305524" w:rsidRPr="00130C7A">
        <w:rPr>
          <w:lang w:val="fr-FR"/>
        </w:rPr>
        <w:t xml:space="preserve"> </w:t>
      </w:r>
      <w:r w:rsidR="00BB522A" w:rsidRPr="00130C7A">
        <w:rPr>
          <w:lang w:val="fr-FR"/>
        </w:rPr>
        <w:t>vérifier l</w:t>
      </w:r>
      <w:r w:rsidR="00130C7A" w:rsidRPr="00130C7A">
        <w:rPr>
          <w:lang w:val="fr-FR"/>
        </w:rPr>
        <w:t>’</w:t>
      </w:r>
      <w:r w:rsidR="00BB522A" w:rsidRPr="00130C7A">
        <w:rPr>
          <w:lang w:val="fr-FR"/>
        </w:rPr>
        <w:t>existence de responsabilités pénales</w:t>
      </w:r>
      <w:r w:rsidR="000E6CBE" w:rsidRPr="00130C7A">
        <w:rPr>
          <w:lang w:val="fr-FR"/>
        </w:rPr>
        <w:t>. De plus</w:t>
      </w:r>
      <w:r w:rsidR="006B23C3" w:rsidRPr="00130C7A">
        <w:rPr>
          <w:lang w:val="fr-FR"/>
        </w:rPr>
        <w:t>, le choix de la voie pénale pouvait être jugé préférable pour le requérant puisque l</w:t>
      </w:r>
      <w:r w:rsidR="00130C7A" w:rsidRPr="00130C7A">
        <w:rPr>
          <w:lang w:val="fr-FR"/>
        </w:rPr>
        <w:t>’</w:t>
      </w:r>
      <w:r w:rsidR="006B23C3" w:rsidRPr="00130C7A">
        <w:rPr>
          <w:lang w:val="fr-FR"/>
        </w:rPr>
        <w:t>obligation de recueillir des éléments de preuve revenait aux autorités d</w:t>
      </w:r>
      <w:r w:rsidR="00130C7A" w:rsidRPr="00130C7A">
        <w:rPr>
          <w:lang w:val="fr-FR"/>
        </w:rPr>
        <w:t>’</w:t>
      </w:r>
      <w:r w:rsidR="006B23C3" w:rsidRPr="00130C7A">
        <w:rPr>
          <w:lang w:val="fr-FR"/>
        </w:rPr>
        <w:t xml:space="preserve">enquête, </w:t>
      </w:r>
      <w:r w:rsidR="003A2ED2" w:rsidRPr="00130C7A">
        <w:rPr>
          <w:lang w:val="fr-FR"/>
        </w:rPr>
        <w:t>celles-ci</w:t>
      </w:r>
      <w:r w:rsidR="00A6621C" w:rsidRPr="00130C7A">
        <w:rPr>
          <w:lang w:val="fr-FR"/>
        </w:rPr>
        <w:t xml:space="preserve"> dispos</w:t>
      </w:r>
      <w:r w:rsidR="003A2ED2" w:rsidRPr="00130C7A">
        <w:rPr>
          <w:lang w:val="fr-FR"/>
        </w:rPr>
        <w:t>a</w:t>
      </w:r>
      <w:r w:rsidR="00A6621C" w:rsidRPr="00130C7A">
        <w:rPr>
          <w:lang w:val="fr-FR"/>
        </w:rPr>
        <w:t xml:space="preserve">nt pour ce faire de moyens bien plus efficaces que ceux </w:t>
      </w:r>
      <w:r w:rsidR="003A2ED2" w:rsidRPr="00130C7A">
        <w:rPr>
          <w:lang w:val="fr-FR"/>
        </w:rPr>
        <w:t>accessibles à</w:t>
      </w:r>
      <w:r w:rsidR="00A6621C" w:rsidRPr="00130C7A">
        <w:rPr>
          <w:lang w:val="fr-FR"/>
        </w:rPr>
        <w:t xml:space="preserve"> un individu</w:t>
      </w:r>
      <w:r w:rsidR="009051CE" w:rsidRPr="00130C7A">
        <w:rPr>
          <w:lang w:val="fr-FR"/>
        </w:rPr>
        <w:t xml:space="preserve"> en tant que partie privée</w:t>
      </w:r>
      <w:r w:rsidR="000E6CBE" w:rsidRPr="00130C7A">
        <w:rPr>
          <w:lang w:val="fr-FR"/>
        </w:rPr>
        <w:t xml:space="preserve"> (</w:t>
      </w:r>
      <w:r w:rsidR="000E6CBE" w:rsidRPr="00130C7A">
        <w:rPr>
          <w:i/>
          <w:lang w:val="fr-FR"/>
        </w:rPr>
        <w:t xml:space="preserve">De </w:t>
      </w:r>
      <w:proofErr w:type="spellStart"/>
      <w:r w:rsidR="000E6CBE" w:rsidRPr="00130C7A">
        <w:rPr>
          <w:i/>
          <w:lang w:val="fr-FR"/>
        </w:rPr>
        <w:t>Donder</w:t>
      </w:r>
      <w:proofErr w:type="spellEnd"/>
      <w:r w:rsidR="00072BC4" w:rsidRPr="00130C7A">
        <w:rPr>
          <w:i/>
          <w:lang w:val="fr-FR"/>
        </w:rPr>
        <w:t xml:space="preserve"> et De </w:t>
      </w:r>
      <w:proofErr w:type="spellStart"/>
      <w:r w:rsidR="00072BC4" w:rsidRPr="00130C7A">
        <w:rPr>
          <w:i/>
          <w:lang w:val="fr-FR"/>
        </w:rPr>
        <w:t>Clippel</w:t>
      </w:r>
      <w:proofErr w:type="spellEnd"/>
      <w:r w:rsidR="000E6CBE" w:rsidRPr="00130C7A">
        <w:rPr>
          <w:lang w:val="fr-FR"/>
        </w:rPr>
        <w:t>, précité, § 61</w:t>
      </w:r>
      <w:r w:rsidR="005E1197" w:rsidRPr="00130C7A">
        <w:rPr>
          <w:lang w:val="fr-FR"/>
        </w:rPr>
        <w:t>,</w:t>
      </w:r>
      <w:r w:rsidR="000E6CBE" w:rsidRPr="00130C7A">
        <w:rPr>
          <w:lang w:val="fr-FR"/>
        </w:rPr>
        <w:t xml:space="preserve"> </w:t>
      </w:r>
      <w:r w:rsidR="000E6CBE" w:rsidRPr="00130C7A">
        <w:rPr>
          <w:i/>
          <w:lang w:val="fr-FR"/>
        </w:rPr>
        <w:t xml:space="preserve">Elena </w:t>
      </w:r>
      <w:proofErr w:type="spellStart"/>
      <w:r w:rsidR="000E6CBE" w:rsidRPr="00130C7A">
        <w:rPr>
          <w:i/>
          <w:lang w:val="fr-FR"/>
        </w:rPr>
        <w:t>Cojocaru</w:t>
      </w:r>
      <w:proofErr w:type="spellEnd"/>
      <w:r w:rsidR="000E6CBE" w:rsidRPr="00130C7A">
        <w:rPr>
          <w:i/>
          <w:lang w:val="fr-FR"/>
        </w:rPr>
        <w:t xml:space="preserve"> c.</w:t>
      </w:r>
      <w:r w:rsidR="003A2ED2" w:rsidRPr="00130C7A">
        <w:rPr>
          <w:i/>
          <w:lang w:val="fr-FR"/>
        </w:rPr>
        <w:t> </w:t>
      </w:r>
      <w:r w:rsidR="000E6CBE" w:rsidRPr="00130C7A">
        <w:rPr>
          <w:i/>
          <w:lang w:val="fr-FR"/>
        </w:rPr>
        <w:t>Roumanie</w:t>
      </w:r>
      <w:r w:rsidR="000E6CBE" w:rsidRPr="00130C7A">
        <w:rPr>
          <w:lang w:val="fr-FR"/>
        </w:rPr>
        <w:t>, n</w:t>
      </w:r>
      <w:r w:rsidR="001E0028" w:rsidRPr="00130C7A">
        <w:rPr>
          <w:vertAlign w:val="superscript"/>
          <w:lang w:val="fr-FR"/>
        </w:rPr>
        <w:t>o</w:t>
      </w:r>
      <w:r w:rsidR="00072BC4" w:rsidRPr="00130C7A">
        <w:rPr>
          <w:lang w:val="fr-FR"/>
        </w:rPr>
        <w:t> </w:t>
      </w:r>
      <w:r w:rsidR="000E6CBE" w:rsidRPr="00130C7A">
        <w:rPr>
          <w:lang w:val="fr-FR"/>
        </w:rPr>
        <w:t>74114/12, § 122, 22</w:t>
      </w:r>
      <w:r w:rsidR="005E1197" w:rsidRPr="00130C7A">
        <w:rPr>
          <w:lang w:val="fr-FR"/>
        </w:rPr>
        <w:t> </w:t>
      </w:r>
      <w:r w:rsidR="000E6CBE" w:rsidRPr="00130C7A">
        <w:rPr>
          <w:lang w:val="fr-FR"/>
        </w:rPr>
        <w:t xml:space="preserve">mars 2016, </w:t>
      </w:r>
      <w:r w:rsidR="005E1197" w:rsidRPr="00130C7A">
        <w:rPr>
          <w:lang w:val="fr-FR"/>
        </w:rPr>
        <w:t xml:space="preserve">et </w:t>
      </w:r>
      <w:r w:rsidR="001F466B" w:rsidRPr="00130C7A">
        <w:rPr>
          <w:i/>
          <w:lang w:val="fr-FR"/>
        </w:rPr>
        <w:t xml:space="preserve">Nicolae </w:t>
      </w:r>
      <w:proofErr w:type="spellStart"/>
      <w:r w:rsidR="001F466B" w:rsidRPr="00130C7A">
        <w:rPr>
          <w:i/>
          <w:lang w:val="fr-FR"/>
        </w:rPr>
        <w:t>Virgiliu</w:t>
      </w:r>
      <w:proofErr w:type="spellEnd"/>
      <w:r w:rsidR="001F466B" w:rsidRPr="00130C7A">
        <w:rPr>
          <w:i/>
          <w:lang w:val="fr-FR"/>
        </w:rPr>
        <w:t xml:space="preserve"> </w:t>
      </w:r>
      <w:proofErr w:type="spellStart"/>
      <w:r w:rsidR="001F466B" w:rsidRPr="00130C7A">
        <w:rPr>
          <w:i/>
          <w:lang w:val="fr-FR"/>
        </w:rPr>
        <w:t>Tănase</w:t>
      </w:r>
      <w:proofErr w:type="spellEnd"/>
      <w:r w:rsidR="001F466B" w:rsidRPr="00130C7A">
        <w:rPr>
          <w:lang w:val="fr-FR"/>
        </w:rPr>
        <w:t>,</w:t>
      </w:r>
      <w:r w:rsidR="0052778E" w:rsidRPr="00235B7E">
        <w:rPr>
          <w:i/>
          <w:lang w:val="fr-FR"/>
        </w:rPr>
        <w:t xml:space="preserve"> </w:t>
      </w:r>
      <w:r w:rsidR="0052778E" w:rsidRPr="00235B7E">
        <w:rPr>
          <w:lang w:val="fr-FR"/>
        </w:rPr>
        <w:t xml:space="preserve">précité, </w:t>
      </w:r>
      <w:r w:rsidR="000E6CBE" w:rsidRPr="00130C7A">
        <w:rPr>
          <w:lang w:val="fr-FR"/>
        </w:rPr>
        <w:t>§</w:t>
      </w:r>
      <w:r w:rsidR="00072BC4" w:rsidRPr="00130C7A">
        <w:rPr>
          <w:lang w:val="fr-FR"/>
        </w:rPr>
        <w:t> </w:t>
      </w:r>
      <w:r w:rsidR="000E6CBE" w:rsidRPr="00130C7A">
        <w:rPr>
          <w:lang w:val="fr-FR"/>
        </w:rPr>
        <w:t>176).</w:t>
      </w:r>
    </w:p>
    <w:p w:rsidR="00FE70C9" w:rsidRPr="00130C7A" w:rsidRDefault="00AA183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58</w:t>
      </w:r>
      <w:r w:rsidRPr="00130C7A">
        <w:rPr>
          <w:lang w:val="fr-FR"/>
        </w:rPr>
        <w:fldChar w:fldCharType="end"/>
      </w:r>
      <w:r w:rsidRPr="00130C7A">
        <w:rPr>
          <w:lang w:val="fr-FR"/>
        </w:rPr>
        <w:t>.  </w:t>
      </w:r>
      <w:r w:rsidR="00E14766" w:rsidRPr="00130C7A">
        <w:rPr>
          <w:lang w:val="fr-FR"/>
        </w:rPr>
        <w:t>La</w:t>
      </w:r>
      <w:r w:rsidR="00A56B99" w:rsidRPr="00130C7A">
        <w:rPr>
          <w:lang w:val="fr-FR"/>
        </w:rPr>
        <w:t xml:space="preserve"> Cour </w:t>
      </w:r>
      <w:r w:rsidR="006839F4" w:rsidRPr="00130C7A">
        <w:rPr>
          <w:lang w:val="fr-FR"/>
        </w:rPr>
        <w:t xml:space="preserve">ne voit </w:t>
      </w:r>
      <w:r w:rsidR="00052C45" w:rsidRPr="00130C7A">
        <w:rPr>
          <w:lang w:val="fr-FR"/>
        </w:rPr>
        <w:t>pas pour</w:t>
      </w:r>
      <w:r w:rsidR="005F37F0" w:rsidRPr="00130C7A">
        <w:rPr>
          <w:lang w:val="fr-FR"/>
        </w:rPr>
        <w:t xml:space="preserve"> quel motif</w:t>
      </w:r>
      <w:r w:rsidR="00052C45" w:rsidRPr="00130C7A">
        <w:rPr>
          <w:lang w:val="fr-FR"/>
        </w:rPr>
        <w:t xml:space="preserve"> il y aurait lieu de</w:t>
      </w:r>
      <w:r w:rsidR="006839F4" w:rsidRPr="00130C7A">
        <w:rPr>
          <w:lang w:val="fr-FR"/>
        </w:rPr>
        <w:t xml:space="preserve"> considérer que le requérant a agi de manière inappropriée lorsqu</w:t>
      </w:r>
      <w:r w:rsidR="00130C7A" w:rsidRPr="00130C7A">
        <w:rPr>
          <w:lang w:val="fr-FR"/>
        </w:rPr>
        <w:t>’</w:t>
      </w:r>
      <w:r w:rsidR="006839F4" w:rsidRPr="00130C7A">
        <w:rPr>
          <w:lang w:val="fr-FR"/>
        </w:rPr>
        <w:t xml:space="preserve">il a choisi de </w:t>
      </w:r>
      <w:r w:rsidR="00A2646C" w:rsidRPr="00130C7A">
        <w:rPr>
          <w:lang w:val="fr-FR"/>
        </w:rPr>
        <w:t>prendre part</w:t>
      </w:r>
      <w:r w:rsidR="00FF25CA" w:rsidRPr="00130C7A">
        <w:rPr>
          <w:lang w:val="fr-FR"/>
        </w:rPr>
        <w:t xml:space="preserve"> à la procédure pénale </w:t>
      </w:r>
      <w:r w:rsidR="006839F4" w:rsidRPr="00130C7A">
        <w:rPr>
          <w:lang w:val="fr-FR"/>
        </w:rPr>
        <w:t xml:space="preserve">et </w:t>
      </w:r>
      <w:r w:rsidR="005E1197" w:rsidRPr="00130C7A">
        <w:rPr>
          <w:lang w:val="fr-FR"/>
        </w:rPr>
        <w:t>elle estime</w:t>
      </w:r>
      <w:r w:rsidR="006839F4" w:rsidRPr="00130C7A">
        <w:rPr>
          <w:lang w:val="fr-FR"/>
        </w:rPr>
        <w:t xml:space="preserve"> </w:t>
      </w:r>
      <w:r w:rsidR="00FE70C9" w:rsidRPr="00130C7A">
        <w:rPr>
          <w:lang w:val="fr-FR"/>
        </w:rPr>
        <w:t xml:space="preserve">que </w:t>
      </w:r>
      <w:r w:rsidR="00DD7677" w:rsidRPr="00130C7A">
        <w:rPr>
          <w:lang w:val="fr-FR"/>
        </w:rPr>
        <w:t>l</w:t>
      </w:r>
      <w:r w:rsidR="00130C7A" w:rsidRPr="00130C7A">
        <w:rPr>
          <w:lang w:val="fr-FR"/>
        </w:rPr>
        <w:t>’</w:t>
      </w:r>
      <w:r w:rsidR="00DD7677" w:rsidRPr="00130C7A">
        <w:rPr>
          <w:lang w:val="fr-FR"/>
        </w:rPr>
        <w:t>intéressé</w:t>
      </w:r>
      <w:r w:rsidR="00A56B99" w:rsidRPr="00130C7A">
        <w:rPr>
          <w:lang w:val="fr-FR"/>
        </w:rPr>
        <w:t xml:space="preserve"> n</w:t>
      </w:r>
      <w:r w:rsidR="00130C7A" w:rsidRPr="00130C7A">
        <w:rPr>
          <w:lang w:val="fr-FR"/>
        </w:rPr>
        <w:t>’</w:t>
      </w:r>
      <w:r w:rsidR="00A56B99" w:rsidRPr="00130C7A">
        <w:rPr>
          <w:lang w:val="fr-FR"/>
        </w:rPr>
        <w:t xml:space="preserve">avait </w:t>
      </w:r>
      <w:r w:rsidR="00E80317" w:rsidRPr="00130C7A">
        <w:rPr>
          <w:lang w:val="fr-FR"/>
        </w:rPr>
        <w:t>pas de</w:t>
      </w:r>
      <w:r w:rsidR="00A56B99" w:rsidRPr="00130C7A">
        <w:rPr>
          <w:lang w:val="fr-FR"/>
        </w:rPr>
        <w:t xml:space="preserve"> raison</w:t>
      </w:r>
      <w:r w:rsidR="00E80317" w:rsidRPr="00130C7A">
        <w:rPr>
          <w:lang w:val="fr-FR"/>
        </w:rPr>
        <w:t>s</w:t>
      </w:r>
      <w:r w:rsidR="00A56B99" w:rsidRPr="00130C7A">
        <w:rPr>
          <w:lang w:val="fr-FR"/>
        </w:rPr>
        <w:t xml:space="preserve"> </w:t>
      </w:r>
      <w:r w:rsidR="006839F4" w:rsidRPr="00130C7A">
        <w:rPr>
          <w:lang w:val="fr-FR"/>
        </w:rPr>
        <w:t>d</w:t>
      </w:r>
      <w:r w:rsidR="005F37F0" w:rsidRPr="00130C7A">
        <w:rPr>
          <w:lang w:val="fr-FR"/>
        </w:rPr>
        <w:t>e</w:t>
      </w:r>
      <w:r w:rsidR="00A72B26" w:rsidRPr="00130C7A">
        <w:rPr>
          <w:lang w:val="fr-FR"/>
        </w:rPr>
        <w:t xml:space="preserve"> </w:t>
      </w:r>
      <w:r w:rsidR="00E1590A" w:rsidRPr="00130C7A">
        <w:rPr>
          <w:lang w:val="fr-FR"/>
        </w:rPr>
        <w:t xml:space="preserve">renoncer </w:t>
      </w:r>
      <w:r w:rsidR="005F37F0" w:rsidRPr="00130C7A">
        <w:rPr>
          <w:lang w:val="fr-FR"/>
        </w:rPr>
        <w:t xml:space="preserve">à cette possibilité </w:t>
      </w:r>
      <w:r w:rsidR="005E1197" w:rsidRPr="00130C7A">
        <w:rPr>
          <w:lang w:val="fr-FR"/>
        </w:rPr>
        <w:t>pour</w:t>
      </w:r>
      <w:r w:rsidR="00A72B26" w:rsidRPr="00130C7A">
        <w:rPr>
          <w:lang w:val="fr-FR"/>
        </w:rPr>
        <w:t xml:space="preserve"> </w:t>
      </w:r>
      <w:r w:rsidR="00E80317" w:rsidRPr="00130C7A">
        <w:rPr>
          <w:lang w:val="fr-FR"/>
        </w:rPr>
        <w:t>tenter</w:t>
      </w:r>
      <w:r w:rsidR="00EB5642" w:rsidRPr="00130C7A">
        <w:rPr>
          <w:lang w:val="fr-FR"/>
        </w:rPr>
        <w:t xml:space="preserve"> la voie civile</w:t>
      </w:r>
      <w:r w:rsidR="00816D4B" w:rsidRPr="00130C7A">
        <w:rPr>
          <w:lang w:val="fr-FR"/>
        </w:rPr>
        <w:t>.</w:t>
      </w:r>
      <w:r w:rsidR="00E14766" w:rsidRPr="00130C7A">
        <w:rPr>
          <w:lang w:val="fr-FR"/>
        </w:rPr>
        <w:t xml:space="preserve"> </w:t>
      </w:r>
      <w:r w:rsidR="00FE70C9" w:rsidRPr="00130C7A">
        <w:rPr>
          <w:lang w:val="fr-FR"/>
        </w:rPr>
        <w:t xml:space="preserve">À cet égard, il convient </w:t>
      </w:r>
      <w:r w:rsidR="00E14766" w:rsidRPr="00130C7A">
        <w:rPr>
          <w:lang w:val="fr-FR"/>
        </w:rPr>
        <w:t xml:space="preserve">également </w:t>
      </w:r>
      <w:r w:rsidR="00FE70C9" w:rsidRPr="00130C7A">
        <w:rPr>
          <w:lang w:val="fr-FR"/>
        </w:rPr>
        <w:t>de rappeler que</w:t>
      </w:r>
      <w:r w:rsidR="005E1197" w:rsidRPr="00130C7A">
        <w:rPr>
          <w:lang w:val="fr-FR"/>
        </w:rPr>
        <w:t>,</w:t>
      </w:r>
      <w:r w:rsidR="00FE70C9" w:rsidRPr="00130C7A">
        <w:rPr>
          <w:lang w:val="fr-FR"/>
        </w:rPr>
        <w:t xml:space="preserve"> si une personne a plusieurs recours internes à sa disposition, elle est en droit, aux fins de l</w:t>
      </w:r>
      <w:r w:rsidR="00130C7A" w:rsidRPr="00130C7A">
        <w:rPr>
          <w:lang w:val="fr-FR"/>
        </w:rPr>
        <w:t>’</w:t>
      </w:r>
      <w:r w:rsidR="00FE70C9" w:rsidRPr="00130C7A">
        <w:rPr>
          <w:lang w:val="fr-FR"/>
        </w:rPr>
        <w:t>épuisement des voies de recours internes, d</w:t>
      </w:r>
      <w:r w:rsidR="00130C7A" w:rsidRPr="00130C7A">
        <w:rPr>
          <w:lang w:val="fr-FR"/>
        </w:rPr>
        <w:t>’</w:t>
      </w:r>
      <w:r w:rsidR="00FE70C9" w:rsidRPr="00130C7A">
        <w:rPr>
          <w:lang w:val="fr-FR"/>
        </w:rPr>
        <w:t>en choisir un susceptible d</w:t>
      </w:r>
      <w:r w:rsidR="00130C7A" w:rsidRPr="00130C7A">
        <w:rPr>
          <w:lang w:val="fr-FR"/>
        </w:rPr>
        <w:t>’</w:t>
      </w:r>
      <w:r w:rsidR="00FE70C9" w:rsidRPr="00130C7A">
        <w:rPr>
          <w:lang w:val="fr-FR"/>
        </w:rPr>
        <w:t>aboutir au redressement de son grief principal. En d</w:t>
      </w:r>
      <w:r w:rsidR="00130C7A" w:rsidRPr="00130C7A">
        <w:rPr>
          <w:lang w:val="fr-FR"/>
        </w:rPr>
        <w:t>’</w:t>
      </w:r>
      <w:r w:rsidR="00FE70C9" w:rsidRPr="00130C7A">
        <w:rPr>
          <w:lang w:val="fr-FR"/>
        </w:rPr>
        <w:t>autres termes, lorsqu</w:t>
      </w:r>
      <w:r w:rsidR="00130C7A" w:rsidRPr="00130C7A">
        <w:rPr>
          <w:lang w:val="fr-FR"/>
        </w:rPr>
        <w:t>’</w:t>
      </w:r>
      <w:r w:rsidR="00FE70C9" w:rsidRPr="00130C7A">
        <w:rPr>
          <w:lang w:val="fr-FR"/>
        </w:rPr>
        <w:t>une voie de recours a été utilisée, l</w:t>
      </w:r>
      <w:r w:rsidR="00130C7A" w:rsidRPr="00130C7A">
        <w:rPr>
          <w:lang w:val="fr-FR"/>
        </w:rPr>
        <w:t>’</w:t>
      </w:r>
      <w:r w:rsidR="00FE70C9" w:rsidRPr="00130C7A">
        <w:rPr>
          <w:lang w:val="fr-FR"/>
        </w:rPr>
        <w:t>usage d</w:t>
      </w:r>
      <w:r w:rsidR="00130C7A" w:rsidRPr="00130C7A">
        <w:rPr>
          <w:lang w:val="fr-FR"/>
        </w:rPr>
        <w:t>’</w:t>
      </w:r>
      <w:r w:rsidR="00FE70C9" w:rsidRPr="00130C7A">
        <w:rPr>
          <w:lang w:val="fr-FR"/>
        </w:rPr>
        <w:t>une autre voie dont le but est pratiquement le même n</w:t>
      </w:r>
      <w:r w:rsidR="00130C7A" w:rsidRPr="00130C7A">
        <w:rPr>
          <w:lang w:val="fr-FR"/>
        </w:rPr>
        <w:t>’</w:t>
      </w:r>
      <w:r w:rsidR="00FE70C9" w:rsidRPr="00130C7A">
        <w:rPr>
          <w:lang w:val="fr-FR"/>
        </w:rPr>
        <w:t>est pas exigé (</w:t>
      </w:r>
      <w:proofErr w:type="spellStart"/>
      <w:r w:rsidR="00FE70C9" w:rsidRPr="00130C7A">
        <w:rPr>
          <w:i/>
          <w:lang w:val="fr-FR"/>
        </w:rPr>
        <w:t>Aquilina</w:t>
      </w:r>
      <w:proofErr w:type="spellEnd"/>
      <w:r w:rsidR="00FE70C9" w:rsidRPr="00130C7A">
        <w:rPr>
          <w:i/>
          <w:lang w:val="fr-FR"/>
        </w:rPr>
        <w:t xml:space="preserve"> c.</w:t>
      </w:r>
      <w:r w:rsidR="005E1197" w:rsidRPr="00130C7A">
        <w:rPr>
          <w:i/>
          <w:lang w:val="fr-FR"/>
        </w:rPr>
        <w:t> </w:t>
      </w:r>
      <w:r w:rsidR="00FE70C9" w:rsidRPr="00130C7A">
        <w:rPr>
          <w:i/>
          <w:lang w:val="fr-FR"/>
        </w:rPr>
        <w:t>Malte</w:t>
      </w:r>
      <w:r w:rsidR="00FE70C9" w:rsidRPr="00130C7A">
        <w:rPr>
          <w:lang w:val="fr-FR"/>
        </w:rPr>
        <w:t xml:space="preserve"> [GC], n</w:t>
      </w:r>
      <w:r w:rsidR="00FE70C9" w:rsidRPr="00130C7A">
        <w:rPr>
          <w:vertAlign w:val="superscript"/>
          <w:lang w:val="fr-FR"/>
        </w:rPr>
        <w:t>o</w:t>
      </w:r>
      <w:r w:rsidR="00FE70C9" w:rsidRPr="00130C7A">
        <w:rPr>
          <w:lang w:val="fr-FR"/>
        </w:rPr>
        <w:t xml:space="preserve"> 25642/94, § 39, CEDH 1999</w:t>
      </w:r>
      <w:r w:rsidR="00FE70C9" w:rsidRPr="00130C7A">
        <w:rPr>
          <w:rFonts w:ascii="MS Mincho" w:eastAsia="MS Mincho" w:hAnsi="MS Mincho" w:cs="MS Mincho" w:hint="eastAsia"/>
          <w:lang w:val="fr-FR"/>
        </w:rPr>
        <w:t>‑</w:t>
      </w:r>
      <w:r w:rsidR="00FE70C9" w:rsidRPr="00130C7A">
        <w:rPr>
          <w:lang w:val="fr-FR"/>
        </w:rPr>
        <w:t xml:space="preserve">III, </w:t>
      </w:r>
      <w:proofErr w:type="spellStart"/>
      <w:r w:rsidR="00FE70C9" w:rsidRPr="00130C7A">
        <w:rPr>
          <w:i/>
          <w:lang w:val="fr-FR"/>
        </w:rPr>
        <w:t>Kozac</w:t>
      </w:r>
      <w:r w:rsidR="00FE70C9" w:rsidRPr="00130C7A">
        <w:rPr>
          <w:rFonts w:ascii="Times New Roman" w:hAnsi="Times New Roman" w:cs="Times New Roman"/>
          <w:i/>
          <w:lang w:val="fr-FR"/>
        </w:rPr>
        <w:t>ı</w:t>
      </w:r>
      <w:r w:rsidR="00FE70C9" w:rsidRPr="00130C7A">
        <w:rPr>
          <w:i/>
          <w:lang w:val="fr-FR"/>
        </w:rPr>
        <w:t>oğlu</w:t>
      </w:r>
      <w:proofErr w:type="spellEnd"/>
      <w:r w:rsidR="00FE70C9" w:rsidRPr="00130C7A">
        <w:rPr>
          <w:i/>
          <w:lang w:val="fr-FR"/>
        </w:rPr>
        <w:t xml:space="preserve"> c. Turquie</w:t>
      </w:r>
      <w:r w:rsidR="000E6CBE" w:rsidRPr="00130C7A">
        <w:rPr>
          <w:lang w:val="fr-FR"/>
        </w:rPr>
        <w:t xml:space="preserve"> [GC], n</w:t>
      </w:r>
      <w:r w:rsidR="001E0028" w:rsidRPr="00130C7A">
        <w:rPr>
          <w:vertAlign w:val="superscript"/>
          <w:lang w:val="fr-FR"/>
        </w:rPr>
        <w:t>o</w:t>
      </w:r>
      <w:r w:rsidR="00FE70C9" w:rsidRPr="00130C7A">
        <w:rPr>
          <w:lang w:val="fr-FR"/>
        </w:rPr>
        <w:t xml:space="preserve"> 2334/03, § 40, 19 février 2009, </w:t>
      </w:r>
      <w:proofErr w:type="spellStart"/>
      <w:r w:rsidR="00FE70C9" w:rsidRPr="00130C7A">
        <w:rPr>
          <w:i/>
          <w:lang w:val="fr-FR"/>
        </w:rPr>
        <w:t>Micallef</w:t>
      </w:r>
      <w:proofErr w:type="spellEnd"/>
      <w:r w:rsidR="00FE70C9" w:rsidRPr="00130C7A">
        <w:rPr>
          <w:i/>
          <w:lang w:val="fr-FR"/>
        </w:rPr>
        <w:t xml:space="preserve"> c.</w:t>
      </w:r>
      <w:r w:rsidR="00052C45" w:rsidRPr="00130C7A">
        <w:rPr>
          <w:i/>
          <w:lang w:val="fr-FR"/>
        </w:rPr>
        <w:t> </w:t>
      </w:r>
      <w:r w:rsidR="00FE70C9" w:rsidRPr="00130C7A">
        <w:rPr>
          <w:i/>
          <w:lang w:val="fr-FR"/>
        </w:rPr>
        <w:t>Malte</w:t>
      </w:r>
      <w:r w:rsidR="000E6CBE" w:rsidRPr="00130C7A">
        <w:rPr>
          <w:lang w:val="fr-FR"/>
        </w:rPr>
        <w:t xml:space="preserve"> [GC], n</w:t>
      </w:r>
      <w:r w:rsidR="001E0028" w:rsidRPr="00130C7A">
        <w:rPr>
          <w:vertAlign w:val="superscript"/>
          <w:lang w:val="fr-FR"/>
        </w:rPr>
        <w:t>o</w:t>
      </w:r>
      <w:r w:rsidR="005E1197" w:rsidRPr="00130C7A">
        <w:rPr>
          <w:lang w:val="fr-FR"/>
        </w:rPr>
        <w:t> </w:t>
      </w:r>
      <w:r w:rsidR="00FE70C9" w:rsidRPr="00130C7A">
        <w:rPr>
          <w:lang w:val="fr-FR"/>
        </w:rPr>
        <w:t xml:space="preserve">17056/06, § 58, CEDH 2009, et </w:t>
      </w:r>
      <w:proofErr w:type="spellStart"/>
      <w:r w:rsidR="00FE70C9" w:rsidRPr="00130C7A">
        <w:rPr>
          <w:i/>
          <w:lang w:val="fr-FR"/>
        </w:rPr>
        <w:t>Şerife</w:t>
      </w:r>
      <w:proofErr w:type="spellEnd"/>
      <w:r w:rsidR="00FE70C9" w:rsidRPr="00130C7A">
        <w:rPr>
          <w:i/>
          <w:lang w:val="fr-FR"/>
        </w:rPr>
        <w:t xml:space="preserve"> </w:t>
      </w:r>
      <w:proofErr w:type="spellStart"/>
      <w:r w:rsidR="00FE70C9" w:rsidRPr="00130C7A">
        <w:rPr>
          <w:i/>
          <w:lang w:val="fr-FR"/>
        </w:rPr>
        <w:t>Yiğit</w:t>
      </w:r>
      <w:proofErr w:type="spellEnd"/>
      <w:r w:rsidR="00FE70C9" w:rsidRPr="00130C7A">
        <w:rPr>
          <w:i/>
          <w:lang w:val="fr-FR"/>
        </w:rPr>
        <w:t xml:space="preserve"> c.</w:t>
      </w:r>
      <w:r w:rsidR="00AD619D" w:rsidRPr="00130C7A">
        <w:rPr>
          <w:i/>
          <w:lang w:val="fr-FR"/>
        </w:rPr>
        <w:t> </w:t>
      </w:r>
      <w:r w:rsidR="00FE70C9" w:rsidRPr="00130C7A">
        <w:rPr>
          <w:i/>
          <w:lang w:val="fr-FR"/>
        </w:rPr>
        <w:t>Turquie</w:t>
      </w:r>
      <w:r w:rsidR="000E6CBE" w:rsidRPr="00130C7A">
        <w:rPr>
          <w:lang w:val="fr-FR"/>
        </w:rPr>
        <w:t xml:space="preserve"> [GC], n</w:t>
      </w:r>
      <w:r w:rsidR="001E0028" w:rsidRPr="00130C7A">
        <w:rPr>
          <w:vertAlign w:val="superscript"/>
          <w:lang w:val="fr-FR"/>
        </w:rPr>
        <w:t>o</w:t>
      </w:r>
      <w:r w:rsidR="00FE70C9" w:rsidRPr="00130C7A">
        <w:rPr>
          <w:lang w:val="fr-FR"/>
        </w:rPr>
        <w:t xml:space="preserve"> 3976/05, § 50, 2 novembre 2010).</w:t>
      </w:r>
    </w:p>
    <w:p w:rsidR="001E0028" w:rsidRPr="00130C7A" w:rsidRDefault="00B9737B"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59</w:t>
      </w:r>
      <w:r w:rsidRPr="00130C7A">
        <w:rPr>
          <w:lang w:val="fr-FR"/>
        </w:rPr>
        <w:fldChar w:fldCharType="end"/>
      </w:r>
      <w:r w:rsidRPr="00130C7A">
        <w:rPr>
          <w:lang w:val="fr-FR"/>
        </w:rPr>
        <w:t>.  </w:t>
      </w:r>
      <w:r w:rsidR="005E1197" w:rsidRPr="00130C7A">
        <w:rPr>
          <w:rFonts w:cstheme="minorHAnsi"/>
          <w:lang w:val="fr-FR"/>
        </w:rPr>
        <w:t>À</w:t>
      </w:r>
      <w:r w:rsidR="00BB522A" w:rsidRPr="00130C7A">
        <w:rPr>
          <w:lang w:val="fr-FR"/>
        </w:rPr>
        <w:t xml:space="preserve"> la lumière de ce qui précède, l</w:t>
      </w:r>
      <w:r w:rsidR="00AB1503" w:rsidRPr="00130C7A">
        <w:rPr>
          <w:lang w:val="fr-FR"/>
        </w:rPr>
        <w:t>a Cour considère que l</w:t>
      </w:r>
      <w:r w:rsidR="00130C7A" w:rsidRPr="00130C7A">
        <w:rPr>
          <w:lang w:val="fr-FR"/>
        </w:rPr>
        <w:t>’</w:t>
      </w:r>
      <w:r w:rsidRPr="00130C7A">
        <w:rPr>
          <w:lang w:val="fr-FR"/>
        </w:rPr>
        <w:t>on ne saurait reprocher au requérant de ne</w:t>
      </w:r>
      <w:r w:rsidR="00AB1503" w:rsidRPr="00130C7A">
        <w:rPr>
          <w:lang w:val="fr-FR"/>
        </w:rPr>
        <w:t xml:space="preserve"> pas avoir </w:t>
      </w:r>
      <w:r w:rsidRPr="00130C7A">
        <w:rPr>
          <w:lang w:val="fr-FR"/>
        </w:rPr>
        <w:t xml:space="preserve">donné aux autorités la possibilité de mener une enquête visant à </w:t>
      </w:r>
      <w:r w:rsidR="00052C45" w:rsidRPr="00130C7A">
        <w:rPr>
          <w:lang w:val="fr-FR"/>
        </w:rPr>
        <w:t>l</w:t>
      </w:r>
      <w:r w:rsidR="00130C7A" w:rsidRPr="00130C7A">
        <w:rPr>
          <w:lang w:val="fr-FR"/>
        </w:rPr>
        <w:t>’</w:t>
      </w:r>
      <w:r w:rsidRPr="00130C7A">
        <w:rPr>
          <w:lang w:val="fr-FR"/>
        </w:rPr>
        <w:t>identifi</w:t>
      </w:r>
      <w:r w:rsidR="00052C45" w:rsidRPr="00130C7A">
        <w:rPr>
          <w:lang w:val="fr-FR"/>
        </w:rPr>
        <w:t>cation des</w:t>
      </w:r>
      <w:r w:rsidRPr="00130C7A">
        <w:rPr>
          <w:lang w:val="fr-FR"/>
        </w:rPr>
        <w:t xml:space="preserve"> responsables de la mort de son proche et de s</w:t>
      </w:r>
      <w:r w:rsidR="00130C7A" w:rsidRPr="00130C7A">
        <w:rPr>
          <w:lang w:val="fr-FR"/>
        </w:rPr>
        <w:t>’</w:t>
      </w:r>
      <w:r w:rsidRPr="00130C7A">
        <w:rPr>
          <w:lang w:val="fr-FR"/>
        </w:rPr>
        <w:t>acquitter ainsi de l</w:t>
      </w:r>
      <w:r w:rsidR="00130C7A" w:rsidRPr="00130C7A">
        <w:rPr>
          <w:lang w:val="fr-FR"/>
        </w:rPr>
        <w:t>’</w:t>
      </w:r>
      <w:r w:rsidRPr="00130C7A">
        <w:rPr>
          <w:lang w:val="fr-FR"/>
        </w:rPr>
        <w:t>obligation qui est la leur au sens de l</w:t>
      </w:r>
      <w:r w:rsidR="00130C7A" w:rsidRPr="00130C7A">
        <w:rPr>
          <w:lang w:val="fr-FR"/>
        </w:rPr>
        <w:t>’</w:t>
      </w:r>
      <w:r w:rsidRPr="00130C7A">
        <w:rPr>
          <w:lang w:val="fr-FR"/>
        </w:rPr>
        <w:t>article 2 de la Convention.</w:t>
      </w:r>
    </w:p>
    <w:p w:rsidR="006773B9" w:rsidRPr="00130C7A" w:rsidRDefault="00305524"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60</w:t>
      </w:r>
      <w:r w:rsidRPr="00130C7A">
        <w:rPr>
          <w:lang w:val="fr-FR"/>
        </w:rPr>
        <w:fldChar w:fldCharType="end"/>
      </w:r>
      <w:r w:rsidRPr="00130C7A">
        <w:rPr>
          <w:lang w:val="fr-FR"/>
        </w:rPr>
        <w:t>.  </w:t>
      </w:r>
      <w:r w:rsidR="00BB522A" w:rsidRPr="00130C7A">
        <w:rPr>
          <w:lang w:val="fr-FR"/>
        </w:rPr>
        <w:t>Elle c</w:t>
      </w:r>
      <w:r w:rsidR="00B9737B" w:rsidRPr="00130C7A">
        <w:rPr>
          <w:lang w:val="fr-FR"/>
        </w:rPr>
        <w:t>onclut</w:t>
      </w:r>
      <w:r w:rsidR="00BB522A" w:rsidRPr="00130C7A">
        <w:rPr>
          <w:lang w:val="fr-FR"/>
        </w:rPr>
        <w:t xml:space="preserve"> </w:t>
      </w:r>
      <w:r w:rsidR="00B9737B" w:rsidRPr="00130C7A">
        <w:rPr>
          <w:lang w:val="fr-FR"/>
        </w:rPr>
        <w:t>que</w:t>
      </w:r>
      <w:r w:rsidR="00052C45" w:rsidRPr="00130C7A">
        <w:rPr>
          <w:lang w:val="fr-FR"/>
        </w:rPr>
        <w:t>,</w:t>
      </w:r>
      <w:r w:rsidR="00B9737B" w:rsidRPr="00130C7A">
        <w:rPr>
          <w:lang w:val="fr-FR"/>
        </w:rPr>
        <w:t xml:space="preserve"> </w:t>
      </w:r>
      <w:r w:rsidR="000E6CBE" w:rsidRPr="00130C7A">
        <w:rPr>
          <w:lang w:val="fr-FR"/>
        </w:rPr>
        <w:t>dans les circonstances de l</w:t>
      </w:r>
      <w:r w:rsidR="00130C7A" w:rsidRPr="00130C7A">
        <w:rPr>
          <w:lang w:val="fr-FR"/>
        </w:rPr>
        <w:t>’</w:t>
      </w:r>
      <w:r w:rsidR="000E6CBE" w:rsidRPr="00130C7A">
        <w:rPr>
          <w:lang w:val="fr-FR"/>
        </w:rPr>
        <w:t>espèce</w:t>
      </w:r>
      <w:r w:rsidR="00052C45" w:rsidRPr="00130C7A">
        <w:rPr>
          <w:lang w:val="fr-FR"/>
        </w:rPr>
        <w:t>,</w:t>
      </w:r>
      <w:r w:rsidR="000E6CBE" w:rsidRPr="00130C7A">
        <w:rPr>
          <w:lang w:val="fr-FR"/>
        </w:rPr>
        <w:t xml:space="preserve"> </w:t>
      </w:r>
      <w:r w:rsidR="00B9737B" w:rsidRPr="00130C7A">
        <w:rPr>
          <w:lang w:val="fr-FR"/>
        </w:rPr>
        <w:t>le requérant n</w:t>
      </w:r>
      <w:r w:rsidR="00130C7A" w:rsidRPr="00130C7A">
        <w:rPr>
          <w:lang w:val="fr-FR"/>
        </w:rPr>
        <w:t>’</w:t>
      </w:r>
      <w:r w:rsidR="00B9737B" w:rsidRPr="00130C7A">
        <w:rPr>
          <w:lang w:val="fr-FR"/>
        </w:rPr>
        <w:t>était pas obligé, aux fins de l</w:t>
      </w:r>
      <w:r w:rsidR="00130C7A" w:rsidRPr="00130C7A">
        <w:rPr>
          <w:lang w:val="fr-FR"/>
        </w:rPr>
        <w:t>’</w:t>
      </w:r>
      <w:r w:rsidR="00B9737B" w:rsidRPr="00130C7A">
        <w:rPr>
          <w:lang w:val="fr-FR"/>
        </w:rPr>
        <w:t>épuisement des voies de recours internes, d</w:t>
      </w:r>
      <w:r w:rsidR="00130C7A" w:rsidRPr="00130C7A">
        <w:rPr>
          <w:lang w:val="fr-FR"/>
        </w:rPr>
        <w:t>’</w:t>
      </w:r>
      <w:r w:rsidR="00B9737B" w:rsidRPr="00130C7A">
        <w:rPr>
          <w:lang w:val="fr-FR"/>
        </w:rPr>
        <w:t>exercer le recours civil évoqué par le Gouvernement et que l</w:t>
      </w:r>
      <w:r w:rsidR="00130C7A" w:rsidRPr="00130C7A">
        <w:rPr>
          <w:lang w:val="fr-FR"/>
        </w:rPr>
        <w:t>’</w:t>
      </w:r>
      <w:r w:rsidR="00B9737B" w:rsidRPr="00130C7A">
        <w:rPr>
          <w:lang w:val="fr-FR"/>
        </w:rPr>
        <w:t>exception soulevée par celui-ci est dépourvue de fondement à cet égard. Constatant par ailleurs que la requête n</w:t>
      </w:r>
      <w:r w:rsidR="00130C7A" w:rsidRPr="00130C7A">
        <w:rPr>
          <w:lang w:val="fr-FR"/>
        </w:rPr>
        <w:t>’</w:t>
      </w:r>
      <w:r w:rsidR="00B9737B" w:rsidRPr="00130C7A">
        <w:rPr>
          <w:lang w:val="fr-FR"/>
        </w:rPr>
        <w:t>est pas manifestement mal fondée au sens de l</w:t>
      </w:r>
      <w:r w:rsidR="00130C7A" w:rsidRPr="00130C7A">
        <w:rPr>
          <w:lang w:val="fr-FR"/>
        </w:rPr>
        <w:t>’</w:t>
      </w:r>
      <w:r w:rsidR="00B9737B" w:rsidRPr="00130C7A">
        <w:rPr>
          <w:lang w:val="fr-FR"/>
        </w:rPr>
        <w:t>article 35 § 3 a) de la Convention et qu</w:t>
      </w:r>
      <w:r w:rsidR="00130C7A" w:rsidRPr="00130C7A">
        <w:rPr>
          <w:lang w:val="fr-FR"/>
        </w:rPr>
        <w:t>’</w:t>
      </w:r>
      <w:r w:rsidR="00B9737B" w:rsidRPr="00130C7A">
        <w:rPr>
          <w:lang w:val="fr-FR"/>
        </w:rPr>
        <w:t>elle ne se heurte par ailleurs à aucun autre motif d</w:t>
      </w:r>
      <w:r w:rsidR="00130C7A" w:rsidRPr="00130C7A">
        <w:rPr>
          <w:lang w:val="fr-FR"/>
        </w:rPr>
        <w:t>’</w:t>
      </w:r>
      <w:r w:rsidR="00B9737B" w:rsidRPr="00130C7A">
        <w:rPr>
          <w:lang w:val="fr-FR"/>
        </w:rPr>
        <w:t>irrecevabilité, la Cour la déclare recevable.</w:t>
      </w:r>
    </w:p>
    <w:p w:rsidR="008F2704" w:rsidRPr="00130C7A" w:rsidRDefault="00E77CB3" w:rsidP="00130C7A">
      <w:pPr>
        <w:pStyle w:val="ECHRHeading2"/>
        <w:rPr>
          <w:lang w:val="fr-FR"/>
        </w:rPr>
      </w:pPr>
      <w:r w:rsidRPr="00130C7A">
        <w:rPr>
          <w:lang w:val="fr-FR"/>
        </w:rPr>
        <w:lastRenderedPageBreak/>
        <w:t>B.  Sur le fond</w:t>
      </w:r>
    </w:p>
    <w:p w:rsidR="0067121C" w:rsidRPr="00130C7A" w:rsidRDefault="007D1E06" w:rsidP="00130C7A">
      <w:pPr>
        <w:pStyle w:val="ECHRHeading3"/>
        <w:rPr>
          <w:lang w:val="fr-FR"/>
        </w:rPr>
      </w:pPr>
      <w:r w:rsidRPr="00130C7A">
        <w:rPr>
          <w:lang w:val="fr-FR"/>
        </w:rPr>
        <w:t>1.</w:t>
      </w:r>
      <w:r w:rsidR="0067121C" w:rsidRPr="00130C7A">
        <w:rPr>
          <w:lang w:val="fr-FR"/>
        </w:rPr>
        <w:t>  Observations des parties</w:t>
      </w:r>
    </w:p>
    <w:p w:rsidR="001E18AA" w:rsidRPr="00130C7A" w:rsidRDefault="0067121C"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61</w:t>
      </w:r>
      <w:r w:rsidRPr="00130C7A">
        <w:rPr>
          <w:lang w:val="fr-FR"/>
        </w:rPr>
        <w:fldChar w:fldCharType="end"/>
      </w:r>
      <w:r w:rsidR="00F62A06" w:rsidRPr="00130C7A">
        <w:rPr>
          <w:lang w:val="fr-FR"/>
        </w:rPr>
        <w:t xml:space="preserve">.  Le requérant </w:t>
      </w:r>
      <w:r w:rsidR="00F00B88" w:rsidRPr="00130C7A">
        <w:rPr>
          <w:lang w:val="fr-FR"/>
        </w:rPr>
        <w:t>allègue</w:t>
      </w:r>
      <w:r w:rsidR="005F33A0" w:rsidRPr="00130C7A">
        <w:rPr>
          <w:lang w:val="fr-FR"/>
        </w:rPr>
        <w:t xml:space="preserve"> </w:t>
      </w:r>
      <w:r w:rsidR="00713A69" w:rsidRPr="00130C7A">
        <w:rPr>
          <w:lang w:val="fr-FR"/>
        </w:rPr>
        <w:t xml:space="preserve">que </w:t>
      </w:r>
      <w:r w:rsidR="00F62A06" w:rsidRPr="00130C7A">
        <w:rPr>
          <w:lang w:val="fr-FR"/>
        </w:rPr>
        <w:t>l</w:t>
      </w:r>
      <w:r w:rsidR="00130C7A" w:rsidRPr="00130C7A">
        <w:rPr>
          <w:lang w:val="fr-FR"/>
        </w:rPr>
        <w:t>’</w:t>
      </w:r>
      <w:r w:rsidR="001100EC" w:rsidRPr="00130C7A">
        <w:rPr>
          <w:lang w:val="fr-FR"/>
        </w:rPr>
        <w:t>État</w:t>
      </w:r>
      <w:r w:rsidR="00F62A06" w:rsidRPr="00130C7A">
        <w:rPr>
          <w:lang w:val="fr-FR"/>
        </w:rPr>
        <w:t xml:space="preserve"> italien a omis de protéger la vie de son neveu. </w:t>
      </w:r>
      <w:r w:rsidR="005F33A0" w:rsidRPr="00130C7A">
        <w:rPr>
          <w:lang w:val="fr-FR"/>
        </w:rPr>
        <w:t>Il expose que c</w:t>
      </w:r>
      <w:r w:rsidR="002D46E2" w:rsidRPr="00130C7A">
        <w:rPr>
          <w:lang w:val="fr-FR"/>
        </w:rPr>
        <w:t>e dernier</w:t>
      </w:r>
      <w:r w:rsidR="00F62A06" w:rsidRPr="00130C7A">
        <w:rPr>
          <w:lang w:val="fr-FR"/>
        </w:rPr>
        <w:t xml:space="preserve"> était une personne vulnérable </w:t>
      </w:r>
      <w:r w:rsidR="007D1E06" w:rsidRPr="00130C7A">
        <w:rPr>
          <w:lang w:val="fr-FR"/>
        </w:rPr>
        <w:t xml:space="preserve">compte tenu de ses conditions physique et </w:t>
      </w:r>
      <w:r w:rsidR="007B216C" w:rsidRPr="00130C7A">
        <w:rPr>
          <w:lang w:val="fr-FR"/>
        </w:rPr>
        <w:t>psychologique</w:t>
      </w:r>
      <w:r w:rsidR="007D1E06" w:rsidRPr="00130C7A">
        <w:rPr>
          <w:lang w:val="fr-FR"/>
        </w:rPr>
        <w:t xml:space="preserve"> </w:t>
      </w:r>
      <w:r w:rsidR="00F62A06" w:rsidRPr="00130C7A">
        <w:rPr>
          <w:lang w:val="fr-FR"/>
        </w:rPr>
        <w:t xml:space="preserve">et </w:t>
      </w:r>
      <w:r w:rsidR="005F33A0" w:rsidRPr="00130C7A">
        <w:rPr>
          <w:lang w:val="fr-FR"/>
        </w:rPr>
        <w:t>qu</w:t>
      </w:r>
      <w:r w:rsidR="00130C7A" w:rsidRPr="00130C7A">
        <w:rPr>
          <w:lang w:val="fr-FR"/>
        </w:rPr>
        <w:t>’</w:t>
      </w:r>
      <w:r w:rsidR="005F33A0" w:rsidRPr="00130C7A">
        <w:rPr>
          <w:lang w:val="fr-FR"/>
        </w:rPr>
        <w:t xml:space="preserve">il </w:t>
      </w:r>
      <w:r w:rsidR="00F62A06" w:rsidRPr="00130C7A">
        <w:rPr>
          <w:lang w:val="fr-FR"/>
        </w:rPr>
        <w:t>aurait dû faire l</w:t>
      </w:r>
      <w:r w:rsidR="00130C7A" w:rsidRPr="00130C7A">
        <w:rPr>
          <w:lang w:val="fr-FR"/>
        </w:rPr>
        <w:t>’</w:t>
      </w:r>
      <w:r w:rsidR="00F62A06" w:rsidRPr="00130C7A">
        <w:rPr>
          <w:lang w:val="fr-FR"/>
        </w:rPr>
        <w:t>objet d</w:t>
      </w:r>
      <w:r w:rsidR="006D765B" w:rsidRPr="00130C7A">
        <w:rPr>
          <w:lang w:val="fr-FR"/>
        </w:rPr>
        <w:t>e</w:t>
      </w:r>
      <w:r w:rsidR="00F62A06" w:rsidRPr="00130C7A">
        <w:rPr>
          <w:lang w:val="fr-FR"/>
        </w:rPr>
        <w:t xml:space="preserve"> précaution</w:t>
      </w:r>
      <w:r w:rsidR="006D765B" w:rsidRPr="00130C7A">
        <w:rPr>
          <w:lang w:val="fr-FR"/>
        </w:rPr>
        <w:t>s</w:t>
      </w:r>
      <w:r w:rsidR="00F62A06" w:rsidRPr="00130C7A">
        <w:rPr>
          <w:lang w:val="fr-FR"/>
        </w:rPr>
        <w:t xml:space="preserve"> particulière</w:t>
      </w:r>
      <w:r w:rsidR="006D765B" w:rsidRPr="00130C7A">
        <w:rPr>
          <w:lang w:val="fr-FR"/>
        </w:rPr>
        <w:t>s</w:t>
      </w:r>
      <w:r w:rsidR="00F62A06" w:rsidRPr="00130C7A">
        <w:rPr>
          <w:lang w:val="fr-FR"/>
        </w:rPr>
        <w:t xml:space="preserve"> de la part des autorités</w:t>
      </w:r>
      <w:r w:rsidR="007D1E06" w:rsidRPr="00130C7A">
        <w:rPr>
          <w:lang w:val="fr-FR"/>
        </w:rPr>
        <w:t xml:space="preserve"> pénitentiaires</w:t>
      </w:r>
      <w:r w:rsidR="00F62A06" w:rsidRPr="00130C7A">
        <w:rPr>
          <w:lang w:val="fr-FR"/>
        </w:rPr>
        <w:t>.</w:t>
      </w:r>
    </w:p>
    <w:p w:rsidR="001E0028" w:rsidRPr="00130C7A" w:rsidRDefault="007D1E0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62</w:t>
      </w:r>
      <w:r w:rsidRPr="00130C7A">
        <w:rPr>
          <w:lang w:val="fr-FR"/>
        </w:rPr>
        <w:fldChar w:fldCharType="end"/>
      </w:r>
      <w:r w:rsidRPr="00130C7A">
        <w:rPr>
          <w:lang w:val="fr-FR"/>
        </w:rPr>
        <w:t>.  </w:t>
      </w:r>
      <w:r w:rsidR="00932178" w:rsidRPr="00130C7A">
        <w:rPr>
          <w:lang w:val="fr-FR"/>
        </w:rPr>
        <w:t xml:space="preserve">Le requérant </w:t>
      </w:r>
      <w:r w:rsidR="00865301" w:rsidRPr="00130C7A">
        <w:rPr>
          <w:lang w:val="fr-FR"/>
        </w:rPr>
        <w:t xml:space="preserve">soutient </w:t>
      </w:r>
      <w:r w:rsidR="00C909FF" w:rsidRPr="00130C7A">
        <w:rPr>
          <w:lang w:val="fr-FR"/>
        </w:rPr>
        <w:t xml:space="preserve">que les conséquences </w:t>
      </w:r>
      <w:r w:rsidR="00817059" w:rsidRPr="00130C7A">
        <w:rPr>
          <w:lang w:val="fr-FR"/>
        </w:rPr>
        <w:t>néfaste</w:t>
      </w:r>
      <w:r w:rsidR="005945AB" w:rsidRPr="00130C7A">
        <w:rPr>
          <w:lang w:val="fr-FR"/>
        </w:rPr>
        <w:t>s</w:t>
      </w:r>
      <w:r w:rsidR="00C909FF" w:rsidRPr="00130C7A">
        <w:rPr>
          <w:lang w:val="fr-FR"/>
        </w:rPr>
        <w:t xml:space="preserve"> </w:t>
      </w:r>
      <w:r w:rsidR="002D46E2" w:rsidRPr="00130C7A">
        <w:rPr>
          <w:lang w:val="fr-FR"/>
        </w:rPr>
        <w:t>des agissements</w:t>
      </w:r>
      <w:r w:rsidR="00C909FF" w:rsidRPr="00130C7A">
        <w:rPr>
          <w:lang w:val="fr-FR"/>
        </w:rPr>
        <w:t xml:space="preserve"> d</w:t>
      </w:r>
      <w:r w:rsidR="005945AB" w:rsidRPr="00130C7A">
        <w:rPr>
          <w:lang w:val="fr-FR"/>
        </w:rPr>
        <w:t xml:space="preserve">e </w:t>
      </w:r>
      <w:r w:rsidR="00C909FF" w:rsidRPr="00130C7A">
        <w:rPr>
          <w:lang w:val="fr-FR"/>
        </w:rPr>
        <w:t xml:space="preserve">A. ne </w:t>
      </w:r>
      <w:r w:rsidR="00817059" w:rsidRPr="00130C7A">
        <w:rPr>
          <w:lang w:val="fr-FR"/>
        </w:rPr>
        <w:t>peuvent</w:t>
      </w:r>
      <w:r w:rsidR="00C909FF" w:rsidRPr="00130C7A">
        <w:rPr>
          <w:lang w:val="fr-FR"/>
        </w:rPr>
        <w:t xml:space="preserve"> pas être </w:t>
      </w:r>
      <w:r w:rsidR="00D96347" w:rsidRPr="00130C7A">
        <w:rPr>
          <w:lang w:val="fr-FR"/>
        </w:rPr>
        <w:t>qualifiées d</w:t>
      </w:r>
      <w:r w:rsidR="00130C7A" w:rsidRPr="00130C7A">
        <w:rPr>
          <w:lang w:val="fr-FR"/>
        </w:rPr>
        <w:t>’</w:t>
      </w:r>
      <w:r w:rsidR="00817059" w:rsidRPr="00130C7A">
        <w:rPr>
          <w:lang w:val="fr-FR"/>
        </w:rPr>
        <w:t xml:space="preserve">imprévisibles, </w:t>
      </w:r>
      <w:r w:rsidR="00F00B88" w:rsidRPr="00130C7A">
        <w:rPr>
          <w:lang w:val="fr-FR"/>
        </w:rPr>
        <w:t>compte tenu</w:t>
      </w:r>
      <w:r w:rsidR="00817059" w:rsidRPr="00130C7A">
        <w:rPr>
          <w:lang w:val="fr-FR"/>
        </w:rPr>
        <w:t xml:space="preserve"> notamment de l</w:t>
      </w:r>
      <w:r w:rsidR="00130C7A" w:rsidRPr="00130C7A">
        <w:rPr>
          <w:lang w:val="fr-FR"/>
        </w:rPr>
        <w:t>’</w:t>
      </w:r>
      <w:r w:rsidR="00817059" w:rsidRPr="00130C7A">
        <w:rPr>
          <w:lang w:val="fr-FR"/>
        </w:rPr>
        <w:t xml:space="preserve">histoire personnelle de la victime et de son comportement </w:t>
      </w:r>
      <w:r w:rsidR="00096490" w:rsidRPr="00130C7A">
        <w:rPr>
          <w:lang w:val="fr-FR"/>
        </w:rPr>
        <w:t>lié à sa</w:t>
      </w:r>
      <w:r w:rsidR="00817059" w:rsidRPr="00130C7A">
        <w:rPr>
          <w:lang w:val="fr-FR"/>
        </w:rPr>
        <w:t xml:space="preserve"> toxicoman</w:t>
      </w:r>
      <w:r w:rsidR="00F00B88" w:rsidRPr="00130C7A">
        <w:rPr>
          <w:lang w:val="fr-FR"/>
        </w:rPr>
        <w:t>i</w:t>
      </w:r>
      <w:r w:rsidR="00817059" w:rsidRPr="00130C7A">
        <w:rPr>
          <w:lang w:val="fr-FR"/>
        </w:rPr>
        <w:t xml:space="preserve">e, </w:t>
      </w:r>
      <w:r w:rsidR="00DD5A80" w:rsidRPr="00130C7A">
        <w:rPr>
          <w:lang w:val="fr-FR"/>
        </w:rPr>
        <w:t xml:space="preserve">sans </w:t>
      </w:r>
      <w:r w:rsidR="00421037" w:rsidRPr="00130C7A">
        <w:rPr>
          <w:lang w:val="fr-FR"/>
        </w:rPr>
        <w:t xml:space="preserve">nul </w:t>
      </w:r>
      <w:r w:rsidR="00DD5A80" w:rsidRPr="00130C7A">
        <w:rPr>
          <w:lang w:val="fr-FR"/>
        </w:rPr>
        <w:t xml:space="preserve">doute </w:t>
      </w:r>
      <w:r w:rsidR="00817059" w:rsidRPr="00130C7A">
        <w:rPr>
          <w:lang w:val="fr-FR"/>
        </w:rPr>
        <w:t xml:space="preserve">connue </w:t>
      </w:r>
      <w:r w:rsidR="00F00B88" w:rsidRPr="00130C7A">
        <w:rPr>
          <w:lang w:val="fr-FR"/>
        </w:rPr>
        <w:t>d</w:t>
      </w:r>
      <w:r w:rsidR="00817059" w:rsidRPr="00130C7A">
        <w:rPr>
          <w:lang w:val="fr-FR"/>
        </w:rPr>
        <w:t xml:space="preserve">es autorités. </w:t>
      </w:r>
      <w:r w:rsidR="00693EC3" w:rsidRPr="00130C7A">
        <w:rPr>
          <w:lang w:val="fr-FR"/>
        </w:rPr>
        <w:t xml:space="preserve">Il se réfère à cet égard aux épisodes des 11 </w:t>
      </w:r>
      <w:r w:rsidR="00347F5E" w:rsidRPr="00130C7A">
        <w:rPr>
          <w:lang w:val="fr-FR"/>
        </w:rPr>
        <w:t>et 18 mars 2005, ainsi qu</w:t>
      </w:r>
      <w:r w:rsidR="00130C7A" w:rsidRPr="00130C7A">
        <w:rPr>
          <w:lang w:val="fr-FR"/>
        </w:rPr>
        <w:t>’</w:t>
      </w:r>
      <w:r w:rsidR="00347F5E" w:rsidRPr="00130C7A">
        <w:rPr>
          <w:lang w:val="fr-FR"/>
        </w:rPr>
        <w:t xml:space="preserve">à </w:t>
      </w:r>
      <w:r w:rsidR="00196CED" w:rsidRPr="00130C7A">
        <w:rPr>
          <w:lang w:val="fr-FR"/>
        </w:rPr>
        <w:t>l</w:t>
      </w:r>
      <w:r w:rsidR="00130C7A" w:rsidRPr="00130C7A">
        <w:rPr>
          <w:lang w:val="fr-FR"/>
        </w:rPr>
        <w:t>’</w:t>
      </w:r>
      <w:r w:rsidR="00F00B88" w:rsidRPr="00130C7A">
        <w:rPr>
          <w:lang w:val="fr-FR"/>
        </w:rPr>
        <w:t>in</w:t>
      </w:r>
      <w:r w:rsidR="00196CED" w:rsidRPr="00130C7A">
        <w:rPr>
          <w:lang w:val="fr-FR"/>
        </w:rPr>
        <w:t>cident du 12</w:t>
      </w:r>
      <w:r w:rsidR="00AD619D" w:rsidRPr="00130C7A">
        <w:rPr>
          <w:lang w:val="fr-FR"/>
        </w:rPr>
        <w:t> </w:t>
      </w:r>
      <w:r w:rsidR="00196CED" w:rsidRPr="00130C7A">
        <w:rPr>
          <w:lang w:val="fr-FR"/>
        </w:rPr>
        <w:t>mai</w:t>
      </w:r>
      <w:r w:rsidR="00AD619D" w:rsidRPr="00130C7A">
        <w:rPr>
          <w:lang w:val="fr-FR"/>
        </w:rPr>
        <w:t> </w:t>
      </w:r>
      <w:r w:rsidR="00196CED" w:rsidRPr="00130C7A">
        <w:rPr>
          <w:lang w:val="fr-FR"/>
        </w:rPr>
        <w:t>2005,</w:t>
      </w:r>
      <w:r w:rsidR="00347F5E" w:rsidRPr="00130C7A">
        <w:rPr>
          <w:lang w:val="fr-FR"/>
        </w:rPr>
        <w:t xml:space="preserve"> </w:t>
      </w:r>
      <w:r w:rsidR="00F00B88" w:rsidRPr="00130C7A">
        <w:rPr>
          <w:lang w:val="fr-FR"/>
        </w:rPr>
        <w:t xml:space="preserve">qui selon lui </w:t>
      </w:r>
      <w:r w:rsidR="00347F5E" w:rsidRPr="00130C7A">
        <w:rPr>
          <w:lang w:val="fr-FR"/>
        </w:rPr>
        <w:t>témoign</w:t>
      </w:r>
      <w:r w:rsidR="00F00B88" w:rsidRPr="00130C7A">
        <w:rPr>
          <w:lang w:val="fr-FR"/>
        </w:rPr>
        <w:t>e</w:t>
      </w:r>
      <w:r w:rsidR="00347F5E" w:rsidRPr="00130C7A">
        <w:rPr>
          <w:lang w:val="fr-FR"/>
        </w:rPr>
        <w:t xml:space="preserve">nt des </w:t>
      </w:r>
      <w:r w:rsidR="007D6C03" w:rsidRPr="00130C7A">
        <w:rPr>
          <w:lang w:val="fr-FR"/>
        </w:rPr>
        <w:t>troubles</w:t>
      </w:r>
      <w:r w:rsidR="00347F5E" w:rsidRPr="00130C7A">
        <w:rPr>
          <w:lang w:val="fr-FR"/>
        </w:rPr>
        <w:t xml:space="preserve"> </w:t>
      </w:r>
      <w:r w:rsidR="00BC116C" w:rsidRPr="00130C7A">
        <w:rPr>
          <w:lang w:val="fr-FR"/>
        </w:rPr>
        <w:t xml:space="preserve">du comportement </w:t>
      </w:r>
      <w:r w:rsidR="00F00B88" w:rsidRPr="00130C7A">
        <w:rPr>
          <w:lang w:val="fr-FR"/>
        </w:rPr>
        <w:t>dont souffrait</w:t>
      </w:r>
      <w:r w:rsidR="00BC116C" w:rsidRPr="00130C7A">
        <w:rPr>
          <w:lang w:val="fr-FR"/>
        </w:rPr>
        <w:t xml:space="preserve"> </w:t>
      </w:r>
      <w:r w:rsidR="007E6CD6" w:rsidRPr="00130C7A">
        <w:rPr>
          <w:lang w:val="fr-FR"/>
        </w:rPr>
        <w:t xml:space="preserve">son </w:t>
      </w:r>
      <w:r w:rsidR="00BC116C" w:rsidRPr="00130C7A">
        <w:rPr>
          <w:lang w:val="fr-FR"/>
        </w:rPr>
        <w:t>neveu</w:t>
      </w:r>
      <w:r w:rsidR="00347F5E" w:rsidRPr="00130C7A">
        <w:rPr>
          <w:lang w:val="fr-FR"/>
        </w:rPr>
        <w:t>. L</w:t>
      </w:r>
      <w:r w:rsidR="00196CED" w:rsidRPr="00130C7A">
        <w:rPr>
          <w:lang w:val="fr-FR"/>
        </w:rPr>
        <w:t xml:space="preserve">e requérant considère </w:t>
      </w:r>
      <w:r w:rsidR="00347F5E" w:rsidRPr="00130C7A">
        <w:rPr>
          <w:lang w:val="fr-FR"/>
        </w:rPr>
        <w:t>que les</w:t>
      </w:r>
      <w:r w:rsidR="00F00B88" w:rsidRPr="00130C7A">
        <w:rPr>
          <w:lang w:val="fr-FR"/>
        </w:rPr>
        <w:t xml:space="preserve"> évènements </w:t>
      </w:r>
      <w:r w:rsidR="00022E9B" w:rsidRPr="00130C7A">
        <w:rPr>
          <w:lang w:val="fr-FR"/>
        </w:rPr>
        <w:t>en cause</w:t>
      </w:r>
      <w:r w:rsidR="00196CED" w:rsidRPr="00130C7A">
        <w:rPr>
          <w:lang w:val="fr-FR"/>
        </w:rPr>
        <w:t xml:space="preserve"> </w:t>
      </w:r>
      <w:r w:rsidR="00347F5E" w:rsidRPr="00130C7A">
        <w:rPr>
          <w:lang w:val="fr-FR"/>
        </w:rPr>
        <w:t>constituent</w:t>
      </w:r>
      <w:r w:rsidR="00196CED" w:rsidRPr="00130C7A">
        <w:rPr>
          <w:lang w:val="fr-FR"/>
        </w:rPr>
        <w:t xml:space="preserve"> </w:t>
      </w:r>
      <w:r w:rsidR="00347F5E" w:rsidRPr="00130C7A">
        <w:rPr>
          <w:lang w:val="fr-FR"/>
        </w:rPr>
        <w:t>des</w:t>
      </w:r>
      <w:r w:rsidR="00196CED" w:rsidRPr="00130C7A">
        <w:rPr>
          <w:lang w:val="fr-FR"/>
        </w:rPr>
        <w:t xml:space="preserve"> précédent</w:t>
      </w:r>
      <w:r w:rsidR="00347F5E" w:rsidRPr="00130C7A">
        <w:rPr>
          <w:lang w:val="fr-FR"/>
        </w:rPr>
        <w:t>s</w:t>
      </w:r>
      <w:r w:rsidR="00196CED" w:rsidRPr="00130C7A">
        <w:rPr>
          <w:lang w:val="fr-FR"/>
        </w:rPr>
        <w:t xml:space="preserve"> significatif</w:t>
      </w:r>
      <w:r w:rsidR="00347F5E" w:rsidRPr="00130C7A">
        <w:rPr>
          <w:lang w:val="fr-FR"/>
        </w:rPr>
        <w:t xml:space="preserve">s qui auraient dû amener </w:t>
      </w:r>
      <w:r w:rsidR="00196CED" w:rsidRPr="00130C7A">
        <w:rPr>
          <w:lang w:val="fr-FR"/>
        </w:rPr>
        <w:t>les auto</w:t>
      </w:r>
      <w:r w:rsidR="00347F5E" w:rsidRPr="00130C7A">
        <w:rPr>
          <w:lang w:val="fr-FR"/>
        </w:rPr>
        <w:t>rités à prendre des</w:t>
      </w:r>
      <w:r w:rsidR="00BC116C" w:rsidRPr="00130C7A">
        <w:rPr>
          <w:lang w:val="fr-FR"/>
        </w:rPr>
        <w:t xml:space="preserve"> mesure</w:t>
      </w:r>
      <w:r w:rsidR="00022E9B" w:rsidRPr="00130C7A">
        <w:rPr>
          <w:lang w:val="fr-FR"/>
        </w:rPr>
        <w:t>s</w:t>
      </w:r>
      <w:r w:rsidR="00BC116C" w:rsidRPr="00130C7A">
        <w:rPr>
          <w:lang w:val="fr-FR"/>
        </w:rPr>
        <w:t xml:space="preserve"> de</w:t>
      </w:r>
      <w:r w:rsidR="00347F5E" w:rsidRPr="00130C7A">
        <w:rPr>
          <w:lang w:val="fr-FR"/>
        </w:rPr>
        <w:t xml:space="preserve"> précaution</w:t>
      </w:r>
      <w:r w:rsidR="00196CED" w:rsidRPr="00130C7A">
        <w:rPr>
          <w:lang w:val="fr-FR"/>
        </w:rPr>
        <w:t>.</w:t>
      </w:r>
      <w:r w:rsidR="00273FF8" w:rsidRPr="00130C7A">
        <w:rPr>
          <w:lang w:val="fr-FR"/>
        </w:rPr>
        <w:t xml:space="preserve"> </w:t>
      </w:r>
      <w:r w:rsidR="00022E9B" w:rsidRPr="00130C7A">
        <w:rPr>
          <w:lang w:val="fr-FR"/>
        </w:rPr>
        <w:t>Il ajoute que, q</w:t>
      </w:r>
      <w:r w:rsidR="00273FF8" w:rsidRPr="00130C7A">
        <w:rPr>
          <w:lang w:val="fr-FR"/>
        </w:rPr>
        <w:t>uoi qu</w:t>
      </w:r>
      <w:r w:rsidR="00130C7A" w:rsidRPr="00130C7A">
        <w:rPr>
          <w:lang w:val="fr-FR"/>
        </w:rPr>
        <w:t>’</w:t>
      </w:r>
      <w:r w:rsidR="00273FF8" w:rsidRPr="00130C7A">
        <w:rPr>
          <w:lang w:val="fr-FR"/>
        </w:rPr>
        <w:t xml:space="preserve">il en soit, </w:t>
      </w:r>
      <w:r w:rsidR="00347F5E" w:rsidRPr="00130C7A">
        <w:rPr>
          <w:lang w:val="fr-FR"/>
        </w:rPr>
        <w:t>ces faits constituent la preuve que les</w:t>
      </w:r>
      <w:r w:rsidR="00273FF8" w:rsidRPr="00130C7A">
        <w:rPr>
          <w:lang w:val="fr-FR"/>
        </w:rPr>
        <w:t xml:space="preserve"> autorités étaient au courant des </w:t>
      </w:r>
      <w:r w:rsidR="00DD5A80" w:rsidRPr="00130C7A">
        <w:rPr>
          <w:lang w:val="fr-FR"/>
        </w:rPr>
        <w:t xml:space="preserve">agissements dangereux </w:t>
      </w:r>
      <w:r w:rsidR="00347F5E" w:rsidRPr="00130C7A">
        <w:rPr>
          <w:lang w:val="fr-FR"/>
        </w:rPr>
        <w:t xml:space="preserve">de la victime </w:t>
      </w:r>
      <w:r w:rsidR="00BC116C" w:rsidRPr="00130C7A">
        <w:rPr>
          <w:lang w:val="fr-FR"/>
        </w:rPr>
        <w:t>à l</w:t>
      </w:r>
      <w:r w:rsidR="00130C7A" w:rsidRPr="00130C7A">
        <w:rPr>
          <w:lang w:val="fr-FR"/>
        </w:rPr>
        <w:t>’</w:t>
      </w:r>
      <w:r w:rsidR="00BC116C" w:rsidRPr="00130C7A">
        <w:rPr>
          <w:lang w:val="fr-FR"/>
        </w:rPr>
        <w:t>intérieur de la</w:t>
      </w:r>
      <w:r w:rsidR="00347F5E" w:rsidRPr="00130C7A">
        <w:rPr>
          <w:lang w:val="fr-FR"/>
        </w:rPr>
        <w:t xml:space="preserve"> prison</w:t>
      </w:r>
      <w:r w:rsidR="00DD5A80" w:rsidRPr="00130C7A">
        <w:rPr>
          <w:lang w:val="fr-FR"/>
        </w:rPr>
        <w:t>.</w:t>
      </w:r>
    </w:p>
    <w:p w:rsidR="001E0028" w:rsidRPr="00130C7A" w:rsidRDefault="00196CED"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63</w:t>
      </w:r>
      <w:r w:rsidRPr="00130C7A">
        <w:rPr>
          <w:lang w:val="fr-FR"/>
        </w:rPr>
        <w:fldChar w:fldCharType="end"/>
      </w:r>
      <w:r w:rsidRPr="00130C7A">
        <w:rPr>
          <w:lang w:val="fr-FR"/>
        </w:rPr>
        <w:t>.  Le requérant</w:t>
      </w:r>
      <w:r w:rsidR="00817059" w:rsidRPr="00130C7A">
        <w:rPr>
          <w:lang w:val="fr-FR"/>
        </w:rPr>
        <w:t xml:space="preserve"> </w:t>
      </w:r>
      <w:r w:rsidRPr="00130C7A">
        <w:rPr>
          <w:lang w:val="fr-FR"/>
        </w:rPr>
        <w:t>soutient en outre</w:t>
      </w:r>
      <w:r w:rsidR="00817059" w:rsidRPr="00130C7A">
        <w:rPr>
          <w:lang w:val="fr-FR"/>
        </w:rPr>
        <w:t xml:space="preserve"> </w:t>
      </w:r>
      <w:r w:rsidR="00865301" w:rsidRPr="00130C7A">
        <w:rPr>
          <w:lang w:val="fr-FR"/>
        </w:rPr>
        <w:t>que le décès d</w:t>
      </w:r>
      <w:r w:rsidR="005945AB" w:rsidRPr="00130C7A">
        <w:rPr>
          <w:lang w:val="fr-FR"/>
        </w:rPr>
        <w:t xml:space="preserve">e </w:t>
      </w:r>
      <w:r w:rsidR="00865301" w:rsidRPr="00130C7A">
        <w:rPr>
          <w:lang w:val="fr-FR"/>
        </w:rPr>
        <w:t>A</w:t>
      </w:r>
      <w:r w:rsidR="007B216C" w:rsidRPr="00130C7A">
        <w:rPr>
          <w:lang w:val="fr-FR"/>
        </w:rPr>
        <w:t>.</w:t>
      </w:r>
      <w:r w:rsidR="00865301" w:rsidRPr="00130C7A">
        <w:rPr>
          <w:lang w:val="fr-FR"/>
        </w:rPr>
        <w:t xml:space="preserve"> aurait pu être évité</w:t>
      </w:r>
      <w:r w:rsidR="00C909FF" w:rsidRPr="00130C7A">
        <w:rPr>
          <w:lang w:val="fr-FR"/>
        </w:rPr>
        <w:t xml:space="preserve"> </w:t>
      </w:r>
      <w:r w:rsidR="00EF0F0C" w:rsidRPr="00130C7A">
        <w:rPr>
          <w:lang w:val="fr-FR"/>
        </w:rPr>
        <w:t>par l</w:t>
      </w:r>
      <w:r w:rsidR="00130C7A" w:rsidRPr="00130C7A">
        <w:rPr>
          <w:lang w:val="fr-FR"/>
        </w:rPr>
        <w:t>’</w:t>
      </w:r>
      <w:r w:rsidR="00C909FF" w:rsidRPr="00130C7A">
        <w:rPr>
          <w:lang w:val="fr-FR"/>
        </w:rPr>
        <w:t>adopt</w:t>
      </w:r>
      <w:r w:rsidR="00EF0F0C" w:rsidRPr="00130C7A">
        <w:rPr>
          <w:lang w:val="fr-FR"/>
        </w:rPr>
        <w:t>ion de</w:t>
      </w:r>
      <w:r w:rsidR="00C909FF" w:rsidRPr="00130C7A">
        <w:rPr>
          <w:lang w:val="fr-FR"/>
        </w:rPr>
        <w:t xml:space="preserve"> mesure</w:t>
      </w:r>
      <w:r w:rsidR="00247E2A" w:rsidRPr="00130C7A">
        <w:rPr>
          <w:lang w:val="fr-FR"/>
        </w:rPr>
        <w:t>s</w:t>
      </w:r>
      <w:r w:rsidR="00C909FF" w:rsidRPr="00130C7A">
        <w:rPr>
          <w:lang w:val="fr-FR"/>
        </w:rPr>
        <w:t xml:space="preserve"> de prévention adéquates</w:t>
      </w:r>
      <w:r w:rsidR="007B216C" w:rsidRPr="00130C7A">
        <w:rPr>
          <w:lang w:val="fr-FR"/>
        </w:rPr>
        <w:t xml:space="preserve">. </w:t>
      </w:r>
      <w:r w:rsidR="001A4124" w:rsidRPr="00130C7A">
        <w:rPr>
          <w:lang w:val="fr-FR"/>
        </w:rPr>
        <w:t xml:space="preserve">Il </w:t>
      </w:r>
      <w:r w:rsidR="007322A5" w:rsidRPr="00130C7A">
        <w:rPr>
          <w:lang w:val="fr-FR"/>
        </w:rPr>
        <w:t>déplore</w:t>
      </w:r>
      <w:r w:rsidR="001A4124" w:rsidRPr="00130C7A">
        <w:rPr>
          <w:lang w:val="fr-FR"/>
        </w:rPr>
        <w:t xml:space="preserve"> que son neveu</w:t>
      </w:r>
      <w:r w:rsidR="00666BAA" w:rsidRPr="00130C7A">
        <w:rPr>
          <w:lang w:val="fr-FR"/>
        </w:rPr>
        <w:t xml:space="preserve"> a</w:t>
      </w:r>
      <w:r w:rsidR="007322A5" w:rsidRPr="00130C7A">
        <w:rPr>
          <w:lang w:val="fr-FR"/>
        </w:rPr>
        <w:t>it</w:t>
      </w:r>
      <w:r w:rsidR="00666BAA" w:rsidRPr="00130C7A">
        <w:rPr>
          <w:lang w:val="fr-FR"/>
        </w:rPr>
        <w:t xml:space="preserve"> pu acquérir sans </w:t>
      </w:r>
      <w:r w:rsidR="00BB7C25" w:rsidRPr="00130C7A">
        <w:rPr>
          <w:lang w:val="fr-FR"/>
        </w:rPr>
        <w:t>restriction</w:t>
      </w:r>
      <w:r w:rsidR="00666BAA" w:rsidRPr="00130C7A">
        <w:rPr>
          <w:lang w:val="fr-FR"/>
        </w:rPr>
        <w:t xml:space="preserve"> un nombre important de cartouches de gaz </w:t>
      </w:r>
      <w:r w:rsidR="007322A5" w:rsidRPr="00130C7A">
        <w:rPr>
          <w:lang w:val="fr-FR"/>
        </w:rPr>
        <w:t>malgré son profil et son état de santé</w:t>
      </w:r>
      <w:r w:rsidR="00E9251C" w:rsidRPr="00130C7A">
        <w:rPr>
          <w:lang w:val="fr-FR"/>
        </w:rPr>
        <w:t>,</w:t>
      </w:r>
      <w:r w:rsidR="007322A5" w:rsidRPr="00130C7A">
        <w:rPr>
          <w:lang w:val="fr-FR"/>
        </w:rPr>
        <w:t xml:space="preserve"> </w:t>
      </w:r>
      <w:r w:rsidR="00247E2A" w:rsidRPr="00130C7A">
        <w:rPr>
          <w:lang w:val="fr-FR"/>
        </w:rPr>
        <w:t>alors</w:t>
      </w:r>
      <w:r w:rsidR="00666BAA" w:rsidRPr="00130C7A">
        <w:rPr>
          <w:lang w:val="fr-FR"/>
        </w:rPr>
        <w:t xml:space="preserve"> qu</w:t>
      </w:r>
      <w:r w:rsidR="00130C7A" w:rsidRPr="00130C7A">
        <w:rPr>
          <w:lang w:val="fr-FR"/>
        </w:rPr>
        <w:t>’</w:t>
      </w:r>
      <w:r w:rsidR="00666BAA" w:rsidRPr="00130C7A">
        <w:rPr>
          <w:lang w:val="fr-FR"/>
        </w:rPr>
        <w:t xml:space="preserve">en 2009 </w:t>
      </w:r>
      <w:r w:rsidR="00865301" w:rsidRPr="00130C7A">
        <w:rPr>
          <w:lang w:val="fr-FR"/>
        </w:rPr>
        <w:t>l</w:t>
      </w:r>
      <w:r w:rsidR="00603523" w:rsidRPr="00130C7A">
        <w:rPr>
          <w:lang w:val="fr-FR"/>
        </w:rPr>
        <w:t>a prison</w:t>
      </w:r>
      <w:r w:rsidR="00865301" w:rsidRPr="00130C7A">
        <w:rPr>
          <w:lang w:val="fr-FR"/>
        </w:rPr>
        <w:t xml:space="preserve"> de Venise </w:t>
      </w:r>
      <w:r w:rsidR="00E56D1A" w:rsidRPr="00130C7A">
        <w:rPr>
          <w:lang w:val="fr-FR"/>
        </w:rPr>
        <w:t>aurait</w:t>
      </w:r>
      <w:r w:rsidR="00247E2A" w:rsidRPr="00130C7A">
        <w:rPr>
          <w:lang w:val="fr-FR"/>
        </w:rPr>
        <w:t xml:space="preserve"> décidé</w:t>
      </w:r>
      <w:r w:rsidR="00865301" w:rsidRPr="00130C7A">
        <w:rPr>
          <w:lang w:val="fr-FR"/>
        </w:rPr>
        <w:t xml:space="preserve"> </w:t>
      </w:r>
      <w:r w:rsidR="007B216C" w:rsidRPr="00130C7A">
        <w:rPr>
          <w:lang w:val="fr-FR"/>
        </w:rPr>
        <w:t xml:space="preserve">de préserver la sécurité </w:t>
      </w:r>
      <w:r w:rsidR="006F045D" w:rsidRPr="00130C7A">
        <w:rPr>
          <w:lang w:val="fr-FR"/>
        </w:rPr>
        <w:t>d</w:t>
      </w:r>
      <w:r w:rsidR="00130C7A" w:rsidRPr="00130C7A">
        <w:rPr>
          <w:lang w:val="fr-FR"/>
        </w:rPr>
        <w:t>’</w:t>
      </w:r>
      <w:r w:rsidR="006F045D" w:rsidRPr="00130C7A">
        <w:rPr>
          <w:lang w:val="fr-FR"/>
        </w:rPr>
        <w:t>un détenu</w:t>
      </w:r>
      <w:r w:rsidR="00247E2A" w:rsidRPr="00130C7A">
        <w:rPr>
          <w:lang w:val="fr-FR"/>
        </w:rPr>
        <w:t>,</w:t>
      </w:r>
      <w:r w:rsidR="006F045D" w:rsidRPr="00130C7A">
        <w:rPr>
          <w:lang w:val="fr-FR"/>
        </w:rPr>
        <w:t xml:space="preserve"> </w:t>
      </w:r>
      <w:r w:rsidR="00E56D1A" w:rsidRPr="00130C7A">
        <w:rPr>
          <w:lang w:val="fr-FR"/>
        </w:rPr>
        <w:t xml:space="preserve">précédemment </w:t>
      </w:r>
      <w:r w:rsidR="006F045D" w:rsidRPr="00130C7A">
        <w:rPr>
          <w:lang w:val="fr-FR"/>
        </w:rPr>
        <w:t xml:space="preserve">surpris </w:t>
      </w:r>
      <w:r w:rsidR="00247E2A" w:rsidRPr="00130C7A">
        <w:rPr>
          <w:lang w:val="fr-FR"/>
        </w:rPr>
        <w:t>en train d</w:t>
      </w:r>
      <w:r w:rsidR="00130C7A" w:rsidRPr="00130C7A">
        <w:rPr>
          <w:lang w:val="fr-FR"/>
        </w:rPr>
        <w:t>’</w:t>
      </w:r>
      <w:r w:rsidR="006F045D" w:rsidRPr="00130C7A">
        <w:rPr>
          <w:lang w:val="fr-FR"/>
        </w:rPr>
        <w:t xml:space="preserve">inhaler </w:t>
      </w:r>
      <w:r w:rsidR="00247E2A" w:rsidRPr="00130C7A">
        <w:rPr>
          <w:lang w:val="fr-FR"/>
        </w:rPr>
        <w:t>du</w:t>
      </w:r>
      <w:r w:rsidR="006F045D" w:rsidRPr="00130C7A">
        <w:rPr>
          <w:lang w:val="fr-FR"/>
        </w:rPr>
        <w:t xml:space="preserve"> gaz</w:t>
      </w:r>
      <w:r w:rsidR="00247E2A" w:rsidRPr="00130C7A">
        <w:rPr>
          <w:lang w:val="fr-FR"/>
        </w:rPr>
        <w:t>,</w:t>
      </w:r>
      <w:r w:rsidR="006F045D" w:rsidRPr="00130C7A">
        <w:rPr>
          <w:lang w:val="fr-FR"/>
        </w:rPr>
        <w:t xml:space="preserve"> </w:t>
      </w:r>
      <w:r w:rsidR="00E56D1A" w:rsidRPr="00130C7A">
        <w:rPr>
          <w:lang w:val="fr-FR"/>
        </w:rPr>
        <w:t>par la mise</w:t>
      </w:r>
      <w:r w:rsidR="006F045D" w:rsidRPr="00130C7A">
        <w:rPr>
          <w:lang w:val="fr-FR"/>
        </w:rPr>
        <w:t xml:space="preserve"> en place </w:t>
      </w:r>
      <w:r w:rsidR="00E56D1A" w:rsidRPr="00130C7A">
        <w:rPr>
          <w:lang w:val="fr-FR"/>
        </w:rPr>
        <w:t>d</w:t>
      </w:r>
      <w:r w:rsidR="00130C7A" w:rsidRPr="00130C7A">
        <w:rPr>
          <w:lang w:val="fr-FR"/>
        </w:rPr>
        <w:t>’</w:t>
      </w:r>
      <w:r w:rsidR="006F045D" w:rsidRPr="00130C7A">
        <w:rPr>
          <w:lang w:val="fr-FR"/>
        </w:rPr>
        <w:t>un protocole limita</w:t>
      </w:r>
      <w:r w:rsidR="00E56D1A" w:rsidRPr="00130C7A">
        <w:rPr>
          <w:lang w:val="fr-FR"/>
        </w:rPr>
        <w:t>n</w:t>
      </w:r>
      <w:r w:rsidR="006F045D" w:rsidRPr="00130C7A">
        <w:rPr>
          <w:lang w:val="fr-FR"/>
        </w:rPr>
        <w:t>t l</w:t>
      </w:r>
      <w:r w:rsidR="00130C7A" w:rsidRPr="00130C7A">
        <w:rPr>
          <w:lang w:val="fr-FR"/>
        </w:rPr>
        <w:t>’</w:t>
      </w:r>
      <w:r w:rsidR="006F045D" w:rsidRPr="00130C7A">
        <w:rPr>
          <w:lang w:val="fr-FR"/>
        </w:rPr>
        <w:t>accès aux cartouches.</w:t>
      </w:r>
      <w:r w:rsidR="00DD5A80" w:rsidRPr="00130C7A">
        <w:rPr>
          <w:lang w:val="fr-FR"/>
        </w:rPr>
        <w:t xml:space="preserve"> </w:t>
      </w:r>
      <w:r w:rsidR="00666BAA" w:rsidRPr="00130C7A">
        <w:rPr>
          <w:lang w:val="fr-FR"/>
        </w:rPr>
        <w:t>Pour le requérant, cela prouve que des mesures individualisée</w:t>
      </w:r>
      <w:r w:rsidR="00247E2A" w:rsidRPr="00130C7A">
        <w:rPr>
          <w:lang w:val="fr-FR"/>
        </w:rPr>
        <w:t>s</w:t>
      </w:r>
      <w:r w:rsidR="00666BAA" w:rsidRPr="00130C7A">
        <w:rPr>
          <w:lang w:val="fr-FR"/>
        </w:rPr>
        <w:t xml:space="preserve"> et spécifiques</w:t>
      </w:r>
      <w:r w:rsidR="00BB7C25" w:rsidRPr="00130C7A">
        <w:rPr>
          <w:lang w:val="fr-FR"/>
        </w:rPr>
        <w:t xml:space="preserve"> </w:t>
      </w:r>
      <w:r w:rsidR="00E833F8" w:rsidRPr="00130C7A">
        <w:rPr>
          <w:lang w:val="fr-FR"/>
        </w:rPr>
        <w:t xml:space="preserve">auraient pu être </w:t>
      </w:r>
      <w:r w:rsidR="00BB7C25" w:rsidRPr="00130C7A">
        <w:rPr>
          <w:lang w:val="fr-FR"/>
        </w:rPr>
        <w:t>envisag</w:t>
      </w:r>
      <w:r w:rsidR="00E833F8" w:rsidRPr="00130C7A">
        <w:rPr>
          <w:lang w:val="fr-FR"/>
        </w:rPr>
        <w:t>ées</w:t>
      </w:r>
      <w:r w:rsidR="00BB7C25" w:rsidRPr="00130C7A">
        <w:rPr>
          <w:lang w:val="fr-FR"/>
        </w:rPr>
        <w:t xml:space="preserve"> en l</w:t>
      </w:r>
      <w:r w:rsidR="00130C7A" w:rsidRPr="00130C7A">
        <w:rPr>
          <w:lang w:val="fr-FR"/>
        </w:rPr>
        <w:t>’</w:t>
      </w:r>
      <w:r w:rsidR="00BB7C25" w:rsidRPr="00130C7A">
        <w:rPr>
          <w:lang w:val="fr-FR"/>
        </w:rPr>
        <w:t>espèce.</w:t>
      </w:r>
    </w:p>
    <w:p w:rsidR="001E0028" w:rsidRPr="00130C7A" w:rsidRDefault="007D1E0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64</w:t>
      </w:r>
      <w:r w:rsidRPr="00130C7A">
        <w:rPr>
          <w:lang w:val="fr-FR"/>
        </w:rPr>
        <w:fldChar w:fldCharType="end"/>
      </w:r>
      <w:r w:rsidRPr="00130C7A">
        <w:rPr>
          <w:lang w:val="fr-FR"/>
        </w:rPr>
        <w:t xml:space="preserve">.  Le requérant </w:t>
      </w:r>
      <w:r w:rsidR="00247E2A" w:rsidRPr="00130C7A">
        <w:rPr>
          <w:lang w:val="fr-FR"/>
        </w:rPr>
        <w:t>soutient également</w:t>
      </w:r>
      <w:r w:rsidRPr="00130C7A">
        <w:rPr>
          <w:lang w:val="fr-FR"/>
        </w:rPr>
        <w:t xml:space="preserve"> que l</w:t>
      </w:r>
      <w:r w:rsidR="00130C7A" w:rsidRPr="00130C7A">
        <w:rPr>
          <w:lang w:val="fr-FR"/>
        </w:rPr>
        <w:t>’</w:t>
      </w:r>
      <w:r w:rsidRPr="00130C7A">
        <w:rPr>
          <w:lang w:val="fr-FR"/>
        </w:rPr>
        <w:t>enquête n</w:t>
      </w:r>
      <w:r w:rsidR="00130C7A" w:rsidRPr="00130C7A">
        <w:rPr>
          <w:lang w:val="fr-FR"/>
        </w:rPr>
        <w:t>’</w:t>
      </w:r>
      <w:r w:rsidRPr="00130C7A">
        <w:rPr>
          <w:lang w:val="fr-FR"/>
        </w:rPr>
        <w:t xml:space="preserve">a pas été effective </w:t>
      </w:r>
      <w:r w:rsidR="00247E2A" w:rsidRPr="00130C7A">
        <w:rPr>
          <w:lang w:val="fr-FR"/>
        </w:rPr>
        <w:t>dès lors q</w:t>
      </w:r>
      <w:r w:rsidR="00BE706B" w:rsidRPr="00130C7A">
        <w:rPr>
          <w:lang w:val="fr-FR"/>
        </w:rPr>
        <w:t>u</w:t>
      </w:r>
      <w:r w:rsidR="00130C7A" w:rsidRPr="00130C7A">
        <w:rPr>
          <w:lang w:val="fr-FR"/>
        </w:rPr>
        <w:t>’</w:t>
      </w:r>
      <w:r w:rsidRPr="00130C7A">
        <w:rPr>
          <w:lang w:val="fr-FR"/>
        </w:rPr>
        <w:t>elle s</w:t>
      </w:r>
      <w:r w:rsidR="00130C7A" w:rsidRPr="00130C7A">
        <w:rPr>
          <w:lang w:val="fr-FR"/>
        </w:rPr>
        <w:t>’</w:t>
      </w:r>
      <w:r w:rsidRPr="00130C7A">
        <w:rPr>
          <w:lang w:val="fr-FR"/>
        </w:rPr>
        <w:t xml:space="preserve">est soldée par un classement </w:t>
      </w:r>
      <w:r w:rsidR="00083B34" w:rsidRPr="00130C7A">
        <w:rPr>
          <w:lang w:val="fr-FR"/>
        </w:rPr>
        <w:t>en raison</w:t>
      </w:r>
      <w:r w:rsidRPr="00130C7A">
        <w:rPr>
          <w:lang w:val="fr-FR"/>
        </w:rPr>
        <w:t xml:space="preserve"> de</w:t>
      </w:r>
      <w:r w:rsidR="00083B34" w:rsidRPr="00130C7A">
        <w:rPr>
          <w:lang w:val="fr-FR"/>
        </w:rPr>
        <w:t xml:space="preserve"> la</w:t>
      </w:r>
      <w:r w:rsidRPr="00130C7A">
        <w:rPr>
          <w:lang w:val="fr-FR"/>
        </w:rPr>
        <w:t xml:space="preserve"> prescription</w:t>
      </w:r>
      <w:r w:rsidR="00083B34" w:rsidRPr="00130C7A">
        <w:rPr>
          <w:lang w:val="fr-FR"/>
        </w:rPr>
        <w:t xml:space="preserve"> des faits</w:t>
      </w:r>
      <w:r w:rsidRPr="00130C7A">
        <w:rPr>
          <w:lang w:val="fr-FR"/>
        </w:rPr>
        <w:t xml:space="preserve">. Il considère </w:t>
      </w:r>
      <w:r w:rsidR="00247E2A" w:rsidRPr="00130C7A">
        <w:rPr>
          <w:lang w:val="fr-FR"/>
        </w:rPr>
        <w:t xml:space="preserve">comme </w:t>
      </w:r>
      <w:r w:rsidRPr="00130C7A">
        <w:rPr>
          <w:lang w:val="fr-FR"/>
        </w:rPr>
        <w:t xml:space="preserve">inacceptable la durée </w:t>
      </w:r>
      <w:r w:rsidR="004D1A04" w:rsidRPr="00130C7A">
        <w:rPr>
          <w:lang w:val="fr-FR"/>
        </w:rPr>
        <w:t xml:space="preserve">de la phase des investigations préliminaires </w:t>
      </w:r>
      <w:r w:rsidR="00AE0AAC" w:rsidRPr="00130C7A">
        <w:rPr>
          <w:lang w:val="fr-FR"/>
        </w:rPr>
        <w:t xml:space="preserve">dans cette affaire </w:t>
      </w:r>
      <w:r w:rsidR="004D1A04" w:rsidRPr="00130C7A">
        <w:rPr>
          <w:lang w:val="fr-FR"/>
        </w:rPr>
        <w:t xml:space="preserve">et </w:t>
      </w:r>
      <w:r w:rsidR="00247E2A" w:rsidRPr="00130C7A">
        <w:rPr>
          <w:lang w:val="fr-FR"/>
        </w:rPr>
        <w:t xml:space="preserve">il </w:t>
      </w:r>
      <w:r w:rsidR="004D1A04" w:rsidRPr="00130C7A">
        <w:rPr>
          <w:lang w:val="fr-FR"/>
        </w:rPr>
        <w:t xml:space="preserve">dénonce une </w:t>
      </w:r>
      <w:r w:rsidR="00453BC0" w:rsidRPr="00130C7A">
        <w:rPr>
          <w:lang w:val="fr-FR"/>
        </w:rPr>
        <w:t>réticence</w:t>
      </w:r>
      <w:r w:rsidR="004D1A04" w:rsidRPr="00130C7A">
        <w:rPr>
          <w:lang w:val="fr-FR"/>
        </w:rPr>
        <w:t xml:space="preserve"> des autorités </w:t>
      </w:r>
      <w:r w:rsidR="003812CD" w:rsidRPr="00130C7A">
        <w:rPr>
          <w:lang w:val="fr-FR"/>
        </w:rPr>
        <w:t>compétentes, notamment du parquet,</w:t>
      </w:r>
      <w:r w:rsidR="00083B34" w:rsidRPr="00130C7A">
        <w:rPr>
          <w:lang w:val="fr-FR"/>
        </w:rPr>
        <w:t xml:space="preserve"> </w:t>
      </w:r>
      <w:r w:rsidR="00247E2A" w:rsidRPr="00130C7A">
        <w:rPr>
          <w:lang w:val="fr-FR"/>
        </w:rPr>
        <w:t xml:space="preserve">à agir promptement </w:t>
      </w:r>
      <w:r w:rsidR="00083B34" w:rsidRPr="00130C7A">
        <w:rPr>
          <w:lang w:val="fr-FR"/>
        </w:rPr>
        <w:t>en dépit de</w:t>
      </w:r>
      <w:r w:rsidR="00AE0AAC" w:rsidRPr="00130C7A">
        <w:rPr>
          <w:lang w:val="fr-FR"/>
        </w:rPr>
        <w:t xml:space="preserve"> se</w:t>
      </w:r>
      <w:r w:rsidR="00083B34" w:rsidRPr="00130C7A">
        <w:rPr>
          <w:lang w:val="fr-FR"/>
        </w:rPr>
        <w:t xml:space="preserve">s nombreuses sollicitations visant à </w:t>
      </w:r>
      <w:r w:rsidR="00247E2A" w:rsidRPr="00130C7A">
        <w:rPr>
          <w:lang w:val="fr-FR"/>
        </w:rPr>
        <w:t>l</w:t>
      </w:r>
      <w:r w:rsidR="00130C7A" w:rsidRPr="00130C7A">
        <w:rPr>
          <w:lang w:val="fr-FR"/>
        </w:rPr>
        <w:t>’</w:t>
      </w:r>
      <w:r w:rsidR="00083B34" w:rsidRPr="00130C7A">
        <w:rPr>
          <w:lang w:val="fr-FR"/>
        </w:rPr>
        <w:t>accélér</w:t>
      </w:r>
      <w:r w:rsidR="00247E2A" w:rsidRPr="00130C7A">
        <w:rPr>
          <w:lang w:val="fr-FR"/>
        </w:rPr>
        <w:t>ation de</w:t>
      </w:r>
      <w:r w:rsidR="00083B34" w:rsidRPr="00130C7A">
        <w:rPr>
          <w:lang w:val="fr-FR"/>
        </w:rPr>
        <w:t xml:space="preserve"> la procédure</w:t>
      </w:r>
      <w:r w:rsidR="00453BC0" w:rsidRPr="00130C7A">
        <w:rPr>
          <w:lang w:val="fr-FR"/>
        </w:rPr>
        <w:t>.</w:t>
      </w:r>
    </w:p>
    <w:p w:rsidR="00775C5B" w:rsidRPr="00130C7A" w:rsidRDefault="000D1FFE"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65</w:t>
      </w:r>
      <w:r w:rsidRPr="00130C7A">
        <w:rPr>
          <w:lang w:val="fr-FR"/>
        </w:rPr>
        <w:fldChar w:fldCharType="end"/>
      </w:r>
      <w:r w:rsidRPr="00130C7A">
        <w:rPr>
          <w:lang w:val="fr-FR"/>
        </w:rPr>
        <w:t>.  </w:t>
      </w:r>
      <w:r w:rsidR="001751F6" w:rsidRPr="00130C7A">
        <w:rPr>
          <w:lang w:val="fr-FR"/>
        </w:rPr>
        <w:t xml:space="preserve">Le requérant </w:t>
      </w:r>
      <w:r w:rsidR="00B136BA" w:rsidRPr="00130C7A">
        <w:rPr>
          <w:lang w:val="fr-FR"/>
        </w:rPr>
        <w:t>indique</w:t>
      </w:r>
      <w:r w:rsidR="001751F6" w:rsidRPr="00130C7A">
        <w:rPr>
          <w:lang w:val="fr-FR"/>
        </w:rPr>
        <w:t xml:space="preserve"> que presque deux ans se sont écoulés entre le dépôt d</w:t>
      </w:r>
      <w:r w:rsidR="00B136BA" w:rsidRPr="00130C7A">
        <w:rPr>
          <w:lang w:val="fr-FR"/>
        </w:rPr>
        <w:t>u dernier rapport d</w:t>
      </w:r>
      <w:r w:rsidR="00130C7A" w:rsidRPr="00130C7A">
        <w:rPr>
          <w:lang w:val="fr-FR"/>
        </w:rPr>
        <w:t>’</w:t>
      </w:r>
      <w:r w:rsidR="001751F6" w:rsidRPr="00130C7A">
        <w:rPr>
          <w:lang w:val="fr-FR"/>
        </w:rPr>
        <w:t xml:space="preserve">expertise et la première demande de classement du parquet. </w:t>
      </w:r>
      <w:r w:rsidR="00B136BA" w:rsidRPr="00130C7A">
        <w:rPr>
          <w:lang w:val="fr-FR"/>
        </w:rPr>
        <w:t>Il dit aussi que</w:t>
      </w:r>
      <w:r w:rsidR="001751F6" w:rsidRPr="00130C7A">
        <w:rPr>
          <w:lang w:val="fr-FR"/>
        </w:rPr>
        <w:t xml:space="preserve">, après le rejet de </w:t>
      </w:r>
      <w:r w:rsidR="00B136BA" w:rsidRPr="00130C7A">
        <w:rPr>
          <w:lang w:val="fr-FR"/>
        </w:rPr>
        <w:t>cette</w:t>
      </w:r>
      <w:r w:rsidR="001751F6" w:rsidRPr="00130C7A">
        <w:rPr>
          <w:lang w:val="fr-FR"/>
        </w:rPr>
        <w:t xml:space="preserve"> demande par</w:t>
      </w:r>
      <w:r w:rsidR="00B136BA" w:rsidRPr="00130C7A">
        <w:rPr>
          <w:lang w:val="fr-FR"/>
        </w:rPr>
        <w:t xml:space="preserve"> le </w:t>
      </w:r>
      <w:r w:rsidR="001751F6" w:rsidRPr="00130C7A">
        <w:rPr>
          <w:lang w:val="fr-FR"/>
        </w:rPr>
        <w:t xml:space="preserve">juge des investigations préliminaires </w:t>
      </w:r>
      <w:r w:rsidR="009326D4" w:rsidRPr="00130C7A">
        <w:rPr>
          <w:lang w:val="fr-FR"/>
        </w:rPr>
        <w:t>le</w:t>
      </w:r>
      <w:r w:rsidR="001751F6" w:rsidRPr="00130C7A">
        <w:rPr>
          <w:lang w:val="fr-FR"/>
        </w:rPr>
        <w:t xml:space="preserve"> 1</w:t>
      </w:r>
      <w:r w:rsidR="001751F6" w:rsidRPr="00130C7A">
        <w:rPr>
          <w:vertAlign w:val="superscript"/>
          <w:lang w:val="fr-FR"/>
        </w:rPr>
        <w:t>er</w:t>
      </w:r>
      <w:r w:rsidR="001751F6" w:rsidRPr="00130C7A">
        <w:rPr>
          <w:lang w:val="fr-FR"/>
        </w:rPr>
        <w:t xml:space="preserve"> octobre 2009, </w:t>
      </w:r>
      <w:r w:rsidR="007322A5" w:rsidRPr="00130C7A">
        <w:rPr>
          <w:lang w:val="fr-FR"/>
        </w:rPr>
        <w:t>le parquet</w:t>
      </w:r>
      <w:r w:rsidR="001751F6" w:rsidRPr="00130C7A">
        <w:rPr>
          <w:lang w:val="fr-FR"/>
        </w:rPr>
        <w:t xml:space="preserve"> n</w:t>
      </w:r>
      <w:r w:rsidR="00130C7A" w:rsidRPr="00130C7A">
        <w:rPr>
          <w:lang w:val="fr-FR"/>
        </w:rPr>
        <w:t>’</w:t>
      </w:r>
      <w:r w:rsidR="001921A0" w:rsidRPr="00130C7A">
        <w:rPr>
          <w:lang w:val="fr-FR"/>
        </w:rPr>
        <w:t xml:space="preserve">a procédé à </w:t>
      </w:r>
      <w:r w:rsidR="001751F6" w:rsidRPr="00130C7A">
        <w:rPr>
          <w:lang w:val="fr-FR"/>
        </w:rPr>
        <w:t>aucun act</w:t>
      </w:r>
      <w:r w:rsidR="001921A0" w:rsidRPr="00130C7A">
        <w:rPr>
          <w:lang w:val="fr-FR"/>
        </w:rPr>
        <w:t>e</w:t>
      </w:r>
      <w:r w:rsidR="001751F6" w:rsidRPr="00130C7A">
        <w:rPr>
          <w:lang w:val="fr-FR"/>
        </w:rPr>
        <w:t xml:space="preserve"> d</w:t>
      </w:r>
      <w:r w:rsidR="00130C7A" w:rsidRPr="00130C7A">
        <w:rPr>
          <w:lang w:val="fr-FR"/>
        </w:rPr>
        <w:t>’</w:t>
      </w:r>
      <w:r w:rsidR="001751F6" w:rsidRPr="00130C7A">
        <w:rPr>
          <w:lang w:val="fr-FR"/>
        </w:rPr>
        <w:t>enquête significati</w:t>
      </w:r>
      <w:r w:rsidR="001921A0" w:rsidRPr="00130C7A">
        <w:rPr>
          <w:lang w:val="fr-FR"/>
        </w:rPr>
        <w:t>f</w:t>
      </w:r>
      <w:r w:rsidR="001751F6" w:rsidRPr="00130C7A">
        <w:rPr>
          <w:lang w:val="fr-FR"/>
        </w:rPr>
        <w:t xml:space="preserve">, </w:t>
      </w:r>
      <w:r w:rsidR="001921A0" w:rsidRPr="00130C7A">
        <w:rPr>
          <w:lang w:val="fr-FR"/>
        </w:rPr>
        <w:t>si ce n</w:t>
      </w:r>
      <w:r w:rsidR="00130C7A" w:rsidRPr="00130C7A">
        <w:rPr>
          <w:lang w:val="fr-FR"/>
        </w:rPr>
        <w:t>’</w:t>
      </w:r>
      <w:r w:rsidR="001921A0" w:rsidRPr="00130C7A">
        <w:rPr>
          <w:lang w:val="fr-FR"/>
        </w:rPr>
        <w:t>est à</w:t>
      </w:r>
      <w:r w:rsidR="001751F6" w:rsidRPr="00130C7A">
        <w:rPr>
          <w:lang w:val="fr-FR"/>
        </w:rPr>
        <w:t xml:space="preserve"> l</w:t>
      </w:r>
      <w:r w:rsidR="00130C7A" w:rsidRPr="00130C7A">
        <w:rPr>
          <w:lang w:val="fr-FR"/>
        </w:rPr>
        <w:t>’</w:t>
      </w:r>
      <w:r w:rsidR="001751F6" w:rsidRPr="00130C7A">
        <w:rPr>
          <w:lang w:val="fr-FR"/>
        </w:rPr>
        <w:t xml:space="preserve">audition du directeur </w:t>
      </w:r>
      <w:r w:rsidR="00945A88" w:rsidRPr="00130C7A">
        <w:rPr>
          <w:lang w:val="fr-FR"/>
        </w:rPr>
        <w:t xml:space="preserve">des services pénitentiaires </w:t>
      </w:r>
      <w:r w:rsidR="001751F6" w:rsidRPr="00130C7A">
        <w:rPr>
          <w:lang w:val="fr-FR"/>
        </w:rPr>
        <w:t xml:space="preserve">de la prison </w:t>
      </w:r>
      <w:r w:rsidR="00E56D1A" w:rsidRPr="00130C7A">
        <w:rPr>
          <w:lang w:val="fr-FR"/>
        </w:rPr>
        <w:t>le</w:t>
      </w:r>
      <w:r w:rsidR="001751F6" w:rsidRPr="00130C7A">
        <w:rPr>
          <w:lang w:val="fr-FR"/>
        </w:rPr>
        <w:t xml:space="preserve"> 24 mai 2010, jusqu</w:t>
      </w:r>
      <w:r w:rsidR="00130C7A" w:rsidRPr="00130C7A">
        <w:rPr>
          <w:lang w:val="fr-FR"/>
        </w:rPr>
        <w:t>’</w:t>
      </w:r>
      <w:r w:rsidR="001751F6" w:rsidRPr="00130C7A">
        <w:rPr>
          <w:lang w:val="fr-FR"/>
        </w:rPr>
        <w:t xml:space="preserve">à </w:t>
      </w:r>
      <w:r w:rsidR="0082513A" w:rsidRPr="00130C7A">
        <w:rPr>
          <w:lang w:val="fr-FR"/>
        </w:rPr>
        <w:t>s</w:t>
      </w:r>
      <w:r w:rsidR="00D37FBF" w:rsidRPr="00130C7A">
        <w:rPr>
          <w:lang w:val="fr-FR"/>
        </w:rPr>
        <w:t>a nouvelle demande de classement de</w:t>
      </w:r>
      <w:r w:rsidR="001751F6" w:rsidRPr="00130C7A">
        <w:rPr>
          <w:lang w:val="fr-FR"/>
        </w:rPr>
        <w:t xml:space="preserve"> </w:t>
      </w:r>
      <w:r w:rsidR="007322A5" w:rsidRPr="00130C7A">
        <w:rPr>
          <w:lang w:val="fr-FR"/>
        </w:rPr>
        <w:t>la procédure</w:t>
      </w:r>
      <w:r w:rsidR="001751F6" w:rsidRPr="00130C7A">
        <w:rPr>
          <w:lang w:val="fr-FR"/>
        </w:rPr>
        <w:t xml:space="preserve"> </w:t>
      </w:r>
      <w:r w:rsidR="001921A0" w:rsidRPr="00130C7A">
        <w:rPr>
          <w:lang w:val="fr-FR"/>
        </w:rPr>
        <w:t>le</w:t>
      </w:r>
      <w:r w:rsidR="001751F6" w:rsidRPr="00130C7A">
        <w:rPr>
          <w:lang w:val="fr-FR"/>
        </w:rPr>
        <w:t xml:space="preserve"> 2</w:t>
      </w:r>
      <w:r w:rsidR="001921A0" w:rsidRPr="00130C7A">
        <w:rPr>
          <w:lang w:val="fr-FR"/>
        </w:rPr>
        <w:t>5 juillet</w:t>
      </w:r>
      <w:r w:rsidR="001751F6" w:rsidRPr="00130C7A">
        <w:rPr>
          <w:lang w:val="fr-FR"/>
        </w:rPr>
        <w:t xml:space="preserve"> 2012.</w:t>
      </w:r>
    </w:p>
    <w:p w:rsidR="001E0028" w:rsidRPr="00130C7A" w:rsidRDefault="000D1FFE"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66</w:t>
      </w:r>
      <w:r w:rsidRPr="00130C7A">
        <w:rPr>
          <w:lang w:val="fr-FR"/>
        </w:rPr>
        <w:fldChar w:fldCharType="end"/>
      </w:r>
      <w:r w:rsidRPr="00130C7A">
        <w:rPr>
          <w:lang w:val="fr-FR"/>
        </w:rPr>
        <w:t xml:space="preserve">.  Le requérant </w:t>
      </w:r>
      <w:r w:rsidR="001921A0" w:rsidRPr="00130C7A">
        <w:rPr>
          <w:lang w:val="fr-FR"/>
        </w:rPr>
        <w:t>plaide</w:t>
      </w:r>
      <w:r w:rsidR="00DA663B" w:rsidRPr="00130C7A">
        <w:rPr>
          <w:lang w:val="fr-FR"/>
        </w:rPr>
        <w:t xml:space="preserve"> que le juge des investigations préliminaires n</w:t>
      </w:r>
      <w:r w:rsidR="00130C7A" w:rsidRPr="00130C7A">
        <w:rPr>
          <w:lang w:val="fr-FR"/>
        </w:rPr>
        <w:t>’</w:t>
      </w:r>
      <w:r w:rsidR="00DA663B" w:rsidRPr="00130C7A">
        <w:rPr>
          <w:lang w:val="fr-FR"/>
        </w:rPr>
        <w:t>a pu que constater l</w:t>
      </w:r>
      <w:r w:rsidR="00130C7A" w:rsidRPr="00130C7A">
        <w:rPr>
          <w:lang w:val="fr-FR"/>
        </w:rPr>
        <w:t>’</w:t>
      </w:r>
      <w:r w:rsidR="00DA663B" w:rsidRPr="00130C7A">
        <w:rPr>
          <w:lang w:val="fr-FR"/>
        </w:rPr>
        <w:t>imminente prescription des faits et l</w:t>
      </w:r>
      <w:r w:rsidR="00130C7A" w:rsidRPr="00130C7A">
        <w:rPr>
          <w:lang w:val="fr-FR"/>
        </w:rPr>
        <w:t>’</w:t>
      </w:r>
      <w:r w:rsidR="00DA663B" w:rsidRPr="00130C7A">
        <w:rPr>
          <w:lang w:val="fr-FR"/>
        </w:rPr>
        <w:t>inutilité de mener</w:t>
      </w:r>
      <w:r w:rsidR="001E0028" w:rsidRPr="00130C7A">
        <w:rPr>
          <w:lang w:val="fr-FR"/>
        </w:rPr>
        <w:t xml:space="preserve"> </w:t>
      </w:r>
      <w:r w:rsidR="00DA663B" w:rsidRPr="00130C7A">
        <w:rPr>
          <w:lang w:val="fr-FR"/>
        </w:rPr>
        <w:t>d</w:t>
      </w:r>
      <w:r w:rsidR="001921A0" w:rsidRPr="00130C7A">
        <w:rPr>
          <w:lang w:val="fr-FR"/>
        </w:rPr>
        <w:t>es</w:t>
      </w:r>
      <w:r w:rsidR="00DA663B" w:rsidRPr="00130C7A">
        <w:rPr>
          <w:lang w:val="fr-FR"/>
        </w:rPr>
        <w:t xml:space="preserve"> investigations</w:t>
      </w:r>
      <w:r w:rsidR="001921A0" w:rsidRPr="00130C7A">
        <w:rPr>
          <w:lang w:val="fr-FR"/>
        </w:rPr>
        <w:t xml:space="preserve"> </w:t>
      </w:r>
      <w:r w:rsidR="008126E4" w:rsidRPr="00130C7A">
        <w:rPr>
          <w:lang w:val="fr-FR"/>
        </w:rPr>
        <w:t>supplé</w:t>
      </w:r>
      <w:r w:rsidR="001921A0" w:rsidRPr="00130C7A">
        <w:rPr>
          <w:lang w:val="fr-FR"/>
        </w:rPr>
        <w:t>mentaires</w:t>
      </w:r>
      <w:r w:rsidR="00DA663B" w:rsidRPr="00130C7A">
        <w:rPr>
          <w:lang w:val="fr-FR"/>
        </w:rPr>
        <w:t>. Or</w:t>
      </w:r>
      <w:r w:rsidR="000805D5" w:rsidRPr="00130C7A">
        <w:rPr>
          <w:lang w:val="fr-FR"/>
        </w:rPr>
        <w:t xml:space="preserve"> </w:t>
      </w:r>
      <w:r w:rsidR="003812CD" w:rsidRPr="00130C7A">
        <w:rPr>
          <w:lang w:val="fr-FR"/>
        </w:rPr>
        <w:t xml:space="preserve">cela </w:t>
      </w:r>
      <w:r w:rsidR="000805D5" w:rsidRPr="00130C7A">
        <w:rPr>
          <w:lang w:val="fr-FR"/>
        </w:rPr>
        <w:t xml:space="preserve">serait </w:t>
      </w:r>
      <w:r w:rsidR="003812CD" w:rsidRPr="00130C7A">
        <w:rPr>
          <w:lang w:val="fr-FR"/>
        </w:rPr>
        <w:t>incompatible avec les obligations</w:t>
      </w:r>
      <w:r w:rsidR="00DA663B" w:rsidRPr="00130C7A">
        <w:rPr>
          <w:lang w:val="fr-FR"/>
        </w:rPr>
        <w:t xml:space="preserve"> de célérité</w:t>
      </w:r>
      <w:r w:rsidR="003812CD" w:rsidRPr="00130C7A">
        <w:rPr>
          <w:lang w:val="fr-FR"/>
        </w:rPr>
        <w:t>, diligence</w:t>
      </w:r>
      <w:r w:rsidR="00DA663B" w:rsidRPr="00130C7A">
        <w:rPr>
          <w:lang w:val="fr-FR"/>
        </w:rPr>
        <w:t xml:space="preserve"> et eff</w:t>
      </w:r>
      <w:r w:rsidR="005B4FA4" w:rsidRPr="00130C7A">
        <w:rPr>
          <w:lang w:val="fr-FR"/>
        </w:rPr>
        <w:t>ectivi</w:t>
      </w:r>
      <w:r w:rsidR="00DA663B" w:rsidRPr="00130C7A">
        <w:rPr>
          <w:lang w:val="fr-FR"/>
        </w:rPr>
        <w:t>té prescrites par l</w:t>
      </w:r>
      <w:r w:rsidR="00130C7A" w:rsidRPr="00130C7A">
        <w:rPr>
          <w:lang w:val="fr-FR"/>
        </w:rPr>
        <w:t>’</w:t>
      </w:r>
      <w:r w:rsidR="00DA663B" w:rsidRPr="00130C7A">
        <w:rPr>
          <w:lang w:val="fr-FR"/>
        </w:rPr>
        <w:t>article 2 de la Convention.</w:t>
      </w:r>
    </w:p>
    <w:p w:rsidR="00D53D84" w:rsidRPr="00130C7A" w:rsidRDefault="0067121C" w:rsidP="00130C7A">
      <w:pPr>
        <w:pStyle w:val="ECHRPara"/>
        <w:rPr>
          <w:lang w:val="fr-FR"/>
        </w:rPr>
      </w:pPr>
      <w:r w:rsidRPr="00130C7A">
        <w:rPr>
          <w:lang w:val="fr-FR"/>
        </w:rPr>
        <w:lastRenderedPageBreak/>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67</w:t>
      </w:r>
      <w:r w:rsidRPr="00130C7A">
        <w:rPr>
          <w:lang w:val="fr-FR"/>
        </w:rPr>
        <w:fldChar w:fldCharType="end"/>
      </w:r>
      <w:r w:rsidRPr="00130C7A">
        <w:rPr>
          <w:lang w:val="fr-FR"/>
        </w:rPr>
        <w:t>.  Le Gouvernement</w:t>
      </w:r>
      <w:r w:rsidR="00A9448E" w:rsidRPr="00130C7A">
        <w:rPr>
          <w:lang w:val="fr-FR"/>
        </w:rPr>
        <w:t xml:space="preserve"> </w:t>
      </w:r>
      <w:r w:rsidR="0033412A" w:rsidRPr="00130C7A">
        <w:rPr>
          <w:lang w:val="fr-FR"/>
        </w:rPr>
        <w:t>expose</w:t>
      </w:r>
      <w:r w:rsidR="00A9448E" w:rsidRPr="00130C7A">
        <w:rPr>
          <w:lang w:val="fr-FR"/>
        </w:rPr>
        <w:t xml:space="preserve"> que</w:t>
      </w:r>
      <w:r w:rsidR="00314DD4" w:rsidRPr="00130C7A">
        <w:rPr>
          <w:lang w:val="fr-FR"/>
        </w:rPr>
        <w:t xml:space="preserve"> l</w:t>
      </w:r>
      <w:r w:rsidR="00130C7A" w:rsidRPr="00130C7A">
        <w:rPr>
          <w:lang w:val="fr-FR"/>
        </w:rPr>
        <w:t>’</w:t>
      </w:r>
      <w:r w:rsidR="00314DD4" w:rsidRPr="00130C7A">
        <w:rPr>
          <w:lang w:val="fr-FR"/>
        </w:rPr>
        <w:t>autopsie et</w:t>
      </w:r>
      <w:r w:rsidR="00A9448E" w:rsidRPr="00130C7A">
        <w:rPr>
          <w:lang w:val="fr-FR"/>
        </w:rPr>
        <w:t xml:space="preserve"> </w:t>
      </w:r>
      <w:r w:rsidR="00314DD4" w:rsidRPr="00130C7A">
        <w:rPr>
          <w:lang w:val="fr-FR"/>
        </w:rPr>
        <w:t xml:space="preserve">les expertises </w:t>
      </w:r>
      <w:r w:rsidR="00AC380E" w:rsidRPr="00130C7A">
        <w:rPr>
          <w:lang w:val="fr-FR"/>
        </w:rPr>
        <w:t>conduites</w:t>
      </w:r>
      <w:r w:rsidR="00314DD4" w:rsidRPr="00130C7A">
        <w:rPr>
          <w:lang w:val="fr-FR"/>
        </w:rPr>
        <w:t xml:space="preserve"> pendant l</w:t>
      </w:r>
      <w:r w:rsidR="00130C7A" w:rsidRPr="00130C7A">
        <w:rPr>
          <w:lang w:val="fr-FR"/>
        </w:rPr>
        <w:t>’</w:t>
      </w:r>
      <w:r w:rsidR="00314DD4" w:rsidRPr="00130C7A">
        <w:rPr>
          <w:lang w:val="fr-FR"/>
        </w:rPr>
        <w:t xml:space="preserve">enquête </w:t>
      </w:r>
      <w:r w:rsidR="00CC25D0" w:rsidRPr="00130C7A">
        <w:rPr>
          <w:lang w:val="fr-FR"/>
        </w:rPr>
        <w:t xml:space="preserve">pénale </w:t>
      </w:r>
      <w:r w:rsidR="00AC380E" w:rsidRPr="00130C7A">
        <w:rPr>
          <w:lang w:val="fr-FR"/>
        </w:rPr>
        <w:t>en la présence</w:t>
      </w:r>
      <w:r w:rsidR="00314DD4" w:rsidRPr="00130C7A">
        <w:rPr>
          <w:lang w:val="fr-FR"/>
        </w:rPr>
        <w:t xml:space="preserve"> d</w:t>
      </w:r>
      <w:r w:rsidR="00130C7A" w:rsidRPr="00130C7A">
        <w:rPr>
          <w:lang w:val="fr-FR"/>
        </w:rPr>
        <w:t>’</w:t>
      </w:r>
      <w:r w:rsidR="00314DD4" w:rsidRPr="00130C7A">
        <w:rPr>
          <w:lang w:val="fr-FR"/>
        </w:rPr>
        <w:t xml:space="preserve">un </w:t>
      </w:r>
      <w:r w:rsidR="0005375E" w:rsidRPr="00130C7A">
        <w:rPr>
          <w:lang w:val="fr-FR"/>
        </w:rPr>
        <w:t xml:space="preserve">expert </w:t>
      </w:r>
      <w:r w:rsidR="005A6A1B" w:rsidRPr="00130C7A">
        <w:rPr>
          <w:lang w:val="fr-FR"/>
        </w:rPr>
        <w:t>désign</w:t>
      </w:r>
      <w:r w:rsidR="0005375E" w:rsidRPr="00130C7A">
        <w:rPr>
          <w:lang w:val="fr-FR"/>
        </w:rPr>
        <w:t>é par le requérant</w:t>
      </w:r>
      <w:r w:rsidR="00314DD4" w:rsidRPr="00130C7A">
        <w:rPr>
          <w:lang w:val="fr-FR"/>
        </w:rPr>
        <w:t xml:space="preserve"> n</w:t>
      </w:r>
      <w:r w:rsidR="00130C7A" w:rsidRPr="00130C7A">
        <w:rPr>
          <w:lang w:val="fr-FR"/>
        </w:rPr>
        <w:t>’</w:t>
      </w:r>
      <w:r w:rsidR="00314DD4" w:rsidRPr="00130C7A">
        <w:rPr>
          <w:lang w:val="fr-FR"/>
        </w:rPr>
        <w:t>ont pas permis d</w:t>
      </w:r>
      <w:r w:rsidR="00130C7A" w:rsidRPr="00130C7A">
        <w:rPr>
          <w:lang w:val="fr-FR"/>
        </w:rPr>
        <w:t>’</w:t>
      </w:r>
      <w:r w:rsidR="00314DD4" w:rsidRPr="00130C7A">
        <w:rPr>
          <w:lang w:val="fr-FR"/>
        </w:rPr>
        <w:t xml:space="preserve">établir avec certitude </w:t>
      </w:r>
      <w:r w:rsidR="00FC1DDD" w:rsidRPr="00130C7A">
        <w:rPr>
          <w:lang w:val="fr-FR"/>
        </w:rPr>
        <w:t>la cause de la mort d</w:t>
      </w:r>
      <w:r w:rsidR="005945AB" w:rsidRPr="00130C7A">
        <w:rPr>
          <w:lang w:val="fr-FR"/>
        </w:rPr>
        <w:t>e</w:t>
      </w:r>
      <w:r w:rsidR="00E2272A" w:rsidRPr="00130C7A">
        <w:rPr>
          <w:lang w:val="fr-FR"/>
        </w:rPr>
        <w:t> </w:t>
      </w:r>
      <w:r w:rsidR="00FC1DDD" w:rsidRPr="00130C7A">
        <w:rPr>
          <w:lang w:val="fr-FR"/>
        </w:rPr>
        <w:t xml:space="preserve">A. </w:t>
      </w:r>
      <w:r w:rsidR="00E2272A" w:rsidRPr="00130C7A">
        <w:rPr>
          <w:lang w:val="fr-FR"/>
        </w:rPr>
        <w:t>Il ajoute que c</w:t>
      </w:r>
      <w:r w:rsidR="00AC380E" w:rsidRPr="00130C7A">
        <w:rPr>
          <w:lang w:val="fr-FR"/>
        </w:rPr>
        <w:t>e</w:t>
      </w:r>
      <w:r w:rsidR="0007456D" w:rsidRPr="00130C7A">
        <w:rPr>
          <w:lang w:val="fr-FR"/>
        </w:rPr>
        <w:t xml:space="preserve"> </w:t>
      </w:r>
      <w:r w:rsidR="00314DD4" w:rsidRPr="00130C7A">
        <w:rPr>
          <w:lang w:val="fr-FR"/>
        </w:rPr>
        <w:t>n</w:t>
      </w:r>
      <w:r w:rsidR="00130C7A" w:rsidRPr="00130C7A">
        <w:rPr>
          <w:lang w:val="fr-FR"/>
        </w:rPr>
        <w:t>’</w:t>
      </w:r>
      <w:r w:rsidR="00314DD4" w:rsidRPr="00130C7A">
        <w:rPr>
          <w:lang w:val="fr-FR"/>
        </w:rPr>
        <w:t>est qu</w:t>
      </w:r>
      <w:r w:rsidR="00130C7A" w:rsidRPr="00130C7A">
        <w:rPr>
          <w:lang w:val="fr-FR"/>
        </w:rPr>
        <w:t>’</w:t>
      </w:r>
      <w:r w:rsidR="00314DD4" w:rsidRPr="00130C7A">
        <w:rPr>
          <w:lang w:val="fr-FR"/>
        </w:rPr>
        <w:t xml:space="preserve">après </w:t>
      </w:r>
      <w:r w:rsidR="004E17B8" w:rsidRPr="00130C7A">
        <w:rPr>
          <w:lang w:val="fr-FR"/>
        </w:rPr>
        <w:t>avoi</w:t>
      </w:r>
      <w:r w:rsidR="00776BEC" w:rsidRPr="00130C7A">
        <w:rPr>
          <w:lang w:val="fr-FR"/>
        </w:rPr>
        <w:t>r</w:t>
      </w:r>
      <w:r w:rsidR="004E17B8" w:rsidRPr="00130C7A">
        <w:rPr>
          <w:lang w:val="fr-FR"/>
        </w:rPr>
        <w:t xml:space="preserve"> </w:t>
      </w:r>
      <w:r w:rsidR="00B935A9" w:rsidRPr="00130C7A">
        <w:rPr>
          <w:lang w:val="fr-FR"/>
        </w:rPr>
        <w:t>effectué</w:t>
      </w:r>
      <w:r w:rsidR="007322A5" w:rsidRPr="00130C7A">
        <w:rPr>
          <w:lang w:val="fr-FR"/>
        </w:rPr>
        <w:t xml:space="preserve"> des examens sur le corps de la victime</w:t>
      </w:r>
      <w:r w:rsidR="00E2272A" w:rsidRPr="00130C7A">
        <w:rPr>
          <w:lang w:val="fr-FR"/>
        </w:rPr>
        <w:t>,</w:t>
      </w:r>
      <w:r w:rsidR="007322A5" w:rsidRPr="00130C7A">
        <w:rPr>
          <w:lang w:val="fr-FR"/>
        </w:rPr>
        <w:t xml:space="preserve"> et avoir ainsi </w:t>
      </w:r>
      <w:r w:rsidR="004E17B8" w:rsidRPr="00130C7A">
        <w:rPr>
          <w:lang w:val="fr-FR"/>
        </w:rPr>
        <w:t>e</w:t>
      </w:r>
      <w:r w:rsidR="00FC1DDD" w:rsidRPr="00130C7A">
        <w:rPr>
          <w:lang w:val="fr-FR"/>
        </w:rPr>
        <w:t>xclu l</w:t>
      </w:r>
      <w:r w:rsidR="00130C7A" w:rsidRPr="00130C7A">
        <w:rPr>
          <w:lang w:val="fr-FR"/>
        </w:rPr>
        <w:t>’</w:t>
      </w:r>
      <w:r w:rsidR="00776BEC" w:rsidRPr="00130C7A">
        <w:rPr>
          <w:lang w:val="fr-FR"/>
        </w:rPr>
        <w:t>hypothèse</w:t>
      </w:r>
      <w:r w:rsidR="00314DD4" w:rsidRPr="00130C7A">
        <w:rPr>
          <w:lang w:val="fr-FR"/>
        </w:rPr>
        <w:t xml:space="preserve"> de l</w:t>
      </w:r>
      <w:r w:rsidR="00130C7A" w:rsidRPr="00130C7A">
        <w:rPr>
          <w:lang w:val="fr-FR"/>
        </w:rPr>
        <w:t>’</w:t>
      </w:r>
      <w:r w:rsidR="0007456D" w:rsidRPr="00130C7A">
        <w:rPr>
          <w:lang w:val="fr-FR"/>
        </w:rPr>
        <w:t>électrocution</w:t>
      </w:r>
      <w:r w:rsidR="00AC380E" w:rsidRPr="00130C7A">
        <w:rPr>
          <w:lang w:val="fr-FR"/>
        </w:rPr>
        <w:t xml:space="preserve"> causée par des tiers</w:t>
      </w:r>
      <w:r w:rsidR="00E2272A" w:rsidRPr="00130C7A">
        <w:rPr>
          <w:lang w:val="fr-FR"/>
        </w:rPr>
        <w:t>,</w:t>
      </w:r>
      <w:r w:rsidR="00FC1DDD" w:rsidRPr="00130C7A">
        <w:rPr>
          <w:lang w:val="fr-FR"/>
        </w:rPr>
        <w:t xml:space="preserve"> </w:t>
      </w:r>
      <w:r w:rsidR="00314DD4" w:rsidRPr="00130C7A">
        <w:rPr>
          <w:lang w:val="fr-FR"/>
        </w:rPr>
        <w:t xml:space="preserve">que les </w:t>
      </w:r>
      <w:r w:rsidR="004C43C6" w:rsidRPr="00130C7A">
        <w:rPr>
          <w:lang w:val="fr-FR"/>
        </w:rPr>
        <w:t xml:space="preserve">experts </w:t>
      </w:r>
      <w:r w:rsidR="00FC1DDD" w:rsidRPr="00130C7A">
        <w:rPr>
          <w:lang w:val="fr-FR"/>
        </w:rPr>
        <w:t>ont pris en considération le fait que l</w:t>
      </w:r>
      <w:r w:rsidR="00130C7A" w:rsidRPr="00130C7A">
        <w:rPr>
          <w:lang w:val="fr-FR"/>
        </w:rPr>
        <w:t>’</w:t>
      </w:r>
      <w:r w:rsidR="00FC1DDD" w:rsidRPr="00130C7A">
        <w:rPr>
          <w:lang w:val="fr-FR"/>
        </w:rPr>
        <w:t>inhalation de gaz</w:t>
      </w:r>
      <w:r w:rsidR="009670EA" w:rsidRPr="00130C7A">
        <w:rPr>
          <w:lang w:val="fr-FR"/>
        </w:rPr>
        <w:t xml:space="preserve"> </w:t>
      </w:r>
      <w:r w:rsidR="00D53D84" w:rsidRPr="00130C7A">
        <w:rPr>
          <w:lang w:val="fr-FR"/>
        </w:rPr>
        <w:t xml:space="preserve">avait pu </w:t>
      </w:r>
      <w:r w:rsidR="00E2272A" w:rsidRPr="00130C7A">
        <w:rPr>
          <w:lang w:val="fr-FR"/>
        </w:rPr>
        <w:t>être à l</w:t>
      </w:r>
      <w:r w:rsidR="00130C7A" w:rsidRPr="00130C7A">
        <w:rPr>
          <w:lang w:val="fr-FR"/>
        </w:rPr>
        <w:t>’</w:t>
      </w:r>
      <w:r w:rsidR="00E2272A" w:rsidRPr="00130C7A">
        <w:rPr>
          <w:lang w:val="fr-FR"/>
        </w:rPr>
        <w:t xml:space="preserve">origine </w:t>
      </w:r>
      <w:r w:rsidR="00D53D84" w:rsidRPr="00130C7A">
        <w:rPr>
          <w:lang w:val="fr-FR"/>
        </w:rPr>
        <w:t>du</w:t>
      </w:r>
      <w:r w:rsidR="00FC1DDD" w:rsidRPr="00130C7A">
        <w:rPr>
          <w:lang w:val="fr-FR"/>
        </w:rPr>
        <w:t xml:space="preserve"> décè</w:t>
      </w:r>
      <w:r w:rsidR="00E54139" w:rsidRPr="00130C7A">
        <w:rPr>
          <w:lang w:val="fr-FR"/>
        </w:rPr>
        <w:t>s</w:t>
      </w:r>
      <w:r w:rsidR="00AC380E" w:rsidRPr="00130C7A">
        <w:rPr>
          <w:lang w:val="fr-FR"/>
        </w:rPr>
        <w:t xml:space="preserve"> en raison</w:t>
      </w:r>
      <w:r w:rsidR="00353B8C" w:rsidRPr="00130C7A">
        <w:rPr>
          <w:lang w:val="fr-FR"/>
        </w:rPr>
        <w:t xml:space="preserve"> de la pathologie car</w:t>
      </w:r>
      <w:r w:rsidR="009670EA" w:rsidRPr="00130C7A">
        <w:rPr>
          <w:lang w:val="fr-FR"/>
        </w:rPr>
        <w:t xml:space="preserve">diaque </w:t>
      </w:r>
      <w:r w:rsidR="00E2272A" w:rsidRPr="00130C7A">
        <w:rPr>
          <w:lang w:val="fr-FR"/>
        </w:rPr>
        <w:t>dont souffrait</w:t>
      </w:r>
      <w:r w:rsidR="009670EA" w:rsidRPr="00130C7A">
        <w:rPr>
          <w:lang w:val="fr-FR"/>
        </w:rPr>
        <w:t xml:space="preserve"> la victime</w:t>
      </w:r>
      <w:r w:rsidR="00E2272A" w:rsidRPr="00130C7A">
        <w:rPr>
          <w:lang w:val="fr-FR"/>
        </w:rPr>
        <w:t>. Il précise que les experts n</w:t>
      </w:r>
      <w:r w:rsidR="00130C7A" w:rsidRPr="00130C7A">
        <w:rPr>
          <w:lang w:val="fr-FR"/>
        </w:rPr>
        <w:t>’</w:t>
      </w:r>
      <w:r w:rsidR="00E2272A" w:rsidRPr="00130C7A">
        <w:rPr>
          <w:lang w:val="fr-FR"/>
        </w:rPr>
        <w:t>ont toutefois pas pu établir</w:t>
      </w:r>
      <w:r w:rsidR="00C32DC1" w:rsidRPr="00130C7A">
        <w:rPr>
          <w:lang w:val="fr-FR"/>
        </w:rPr>
        <w:t xml:space="preserve"> avec certitude</w:t>
      </w:r>
      <w:r w:rsidR="00E2272A" w:rsidRPr="00130C7A">
        <w:rPr>
          <w:lang w:val="fr-FR"/>
        </w:rPr>
        <w:t xml:space="preserve"> que l</w:t>
      </w:r>
      <w:r w:rsidR="00130C7A" w:rsidRPr="00130C7A">
        <w:rPr>
          <w:lang w:val="fr-FR"/>
        </w:rPr>
        <w:t>’</w:t>
      </w:r>
      <w:r w:rsidR="00E2272A" w:rsidRPr="00130C7A">
        <w:rPr>
          <w:lang w:val="fr-FR"/>
        </w:rPr>
        <w:t xml:space="preserve">inhalation de gaz avait été déterminante, </w:t>
      </w:r>
      <w:r w:rsidR="00C17F10" w:rsidRPr="00130C7A">
        <w:rPr>
          <w:lang w:val="fr-FR"/>
        </w:rPr>
        <w:t>la cause de l</w:t>
      </w:r>
      <w:r w:rsidR="00130C7A" w:rsidRPr="00130C7A">
        <w:rPr>
          <w:lang w:val="fr-FR"/>
        </w:rPr>
        <w:t>’</w:t>
      </w:r>
      <w:r w:rsidR="00C17F10" w:rsidRPr="00130C7A">
        <w:rPr>
          <w:lang w:val="fr-FR"/>
        </w:rPr>
        <w:t>arrêt cardiaque d</w:t>
      </w:r>
      <w:r w:rsidR="005945AB" w:rsidRPr="00130C7A">
        <w:rPr>
          <w:lang w:val="fr-FR"/>
        </w:rPr>
        <w:t xml:space="preserve">e </w:t>
      </w:r>
      <w:r w:rsidR="00C17F10" w:rsidRPr="00130C7A">
        <w:rPr>
          <w:lang w:val="fr-FR"/>
        </w:rPr>
        <w:t>A. n</w:t>
      </w:r>
      <w:r w:rsidR="00130C7A" w:rsidRPr="00130C7A">
        <w:rPr>
          <w:lang w:val="fr-FR"/>
        </w:rPr>
        <w:t>’</w:t>
      </w:r>
      <w:r w:rsidR="00C17F10" w:rsidRPr="00130C7A">
        <w:rPr>
          <w:lang w:val="fr-FR"/>
        </w:rPr>
        <w:t>a</w:t>
      </w:r>
      <w:r w:rsidR="00E2272A" w:rsidRPr="00130C7A">
        <w:rPr>
          <w:lang w:val="fr-FR"/>
        </w:rPr>
        <w:t>yant</w:t>
      </w:r>
      <w:r w:rsidR="00C17F10" w:rsidRPr="00130C7A">
        <w:rPr>
          <w:lang w:val="fr-FR"/>
        </w:rPr>
        <w:t xml:space="preserve"> pas pu être identifiée.</w:t>
      </w:r>
    </w:p>
    <w:p w:rsidR="007A4946" w:rsidRPr="00130C7A" w:rsidRDefault="00C149C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68</w:t>
      </w:r>
      <w:r w:rsidRPr="00130C7A">
        <w:rPr>
          <w:lang w:val="fr-FR"/>
        </w:rPr>
        <w:fldChar w:fldCharType="end"/>
      </w:r>
      <w:r w:rsidRPr="00130C7A">
        <w:rPr>
          <w:lang w:val="fr-FR"/>
        </w:rPr>
        <w:t>.  </w:t>
      </w:r>
      <w:r w:rsidR="00E54139" w:rsidRPr="00130C7A">
        <w:rPr>
          <w:lang w:val="fr-FR"/>
        </w:rPr>
        <w:t>Le Gouvernement affirme par ailleurs qu</w:t>
      </w:r>
      <w:r w:rsidR="00130C7A" w:rsidRPr="00130C7A">
        <w:rPr>
          <w:lang w:val="fr-FR"/>
        </w:rPr>
        <w:t>’</w:t>
      </w:r>
      <w:r w:rsidR="00E54139" w:rsidRPr="00130C7A">
        <w:rPr>
          <w:lang w:val="fr-FR"/>
        </w:rPr>
        <w:t>aucun élément</w:t>
      </w:r>
      <w:r w:rsidR="005E4A3D" w:rsidRPr="00130C7A">
        <w:rPr>
          <w:lang w:val="fr-FR"/>
        </w:rPr>
        <w:t xml:space="preserve"> ne</w:t>
      </w:r>
      <w:r w:rsidR="00E54139" w:rsidRPr="00130C7A">
        <w:rPr>
          <w:lang w:val="fr-FR"/>
        </w:rPr>
        <w:t xml:space="preserve"> </w:t>
      </w:r>
      <w:r w:rsidR="005E4A3D" w:rsidRPr="00130C7A">
        <w:rPr>
          <w:lang w:val="fr-FR"/>
        </w:rPr>
        <w:t xml:space="preserve">pouvait amener les autorités pénitentiaires à </w:t>
      </w:r>
      <w:r w:rsidR="0005375E" w:rsidRPr="00130C7A">
        <w:rPr>
          <w:lang w:val="fr-FR"/>
        </w:rPr>
        <w:t>penser</w:t>
      </w:r>
      <w:r w:rsidR="005E4A3D" w:rsidRPr="00130C7A">
        <w:rPr>
          <w:lang w:val="fr-FR"/>
        </w:rPr>
        <w:t xml:space="preserve"> que la vie d</w:t>
      </w:r>
      <w:r w:rsidR="005945AB" w:rsidRPr="00130C7A">
        <w:rPr>
          <w:lang w:val="fr-FR"/>
        </w:rPr>
        <w:t xml:space="preserve">e </w:t>
      </w:r>
      <w:r w:rsidR="005E4A3D" w:rsidRPr="00130C7A">
        <w:rPr>
          <w:lang w:val="fr-FR"/>
        </w:rPr>
        <w:t>A. était en danger.</w:t>
      </w:r>
      <w:r w:rsidR="007A4946" w:rsidRPr="00130C7A">
        <w:rPr>
          <w:lang w:val="fr-FR"/>
        </w:rPr>
        <w:t xml:space="preserve"> S</w:t>
      </w:r>
      <w:r w:rsidR="005E4A3D" w:rsidRPr="00130C7A">
        <w:rPr>
          <w:lang w:val="fr-FR"/>
        </w:rPr>
        <w:t>elon le Gouvernement</w:t>
      </w:r>
      <w:r w:rsidR="007A4946" w:rsidRPr="00130C7A">
        <w:rPr>
          <w:lang w:val="fr-FR"/>
        </w:rPr>
        <w:t>, l</w:t>
      </w:r>
      <w:r w:rsidR="00130C7A" w:rsidRPr="00130C7A">
        <w:rPr>
          <w:lang w:val="fr-FR"/>
        </w:rPr>
        <w:t>’</w:t>
      </w:r>
      <w:r w:rsidR="007A4946" w:rsidRPr="00130C7A">
        <w:rPr>
          <w:lang w:val="fr-FR"/>
        </w:rPr>
        <w:t>épisode du 12 mai 2005</w:t>
      </w:r>
      <w:r w:rsidR="00CF7108" w:rsidRPr="00130C7A">
        <w:rPr>
          <w:lang w:val="fr-FR"/>
        </w:rPr>
        <w:t xml:space="preserve"> </w:t>
      </w:r>
      <w:r w:rsidR="00EB6874" w:rsidRPr="00130C7A">
        <w:rPr>
          <w:lang w:val="fr-FR"/>
        </w:rPr>
        <w:t>n</w:t>
      </w:r>
      <w:r w:rsidR="00130C7A" w:rsidRPr="00130C7A">
        <w:rPr>
          <w:lang w:val="fr-FR"/>
        </w:rPr>
        <w:t>’</w:t>
      </w:r>
      <w:r w:rsidR="00EB6874" w:rsidRPr="00130C7A">
        <w:rPr>
          <w:lang w:val="fr-FR"/>
        </w:rPr>
        <w:t>avait pas une signification univoque si l</w:t>
      </w:r>
      <w:r w:rsidR="00130C7A" w:rsidRPr="00130C7A">
        <w:rPr>
          <w:lang w:val="fr-FR"/>
        </w:rPr>
        <w:t>’</w:t>
      </w:r>
      <w:r w:rsidR="00EB6874" w:rsidRPr="00130C7A">
        <w:rPr>
          <w:lang w:val="fr-FR"/>
        </w:rPr>
        <w:t xml:space="preserve">on songe aux explications </w:t>
      </w:r>
      <w:r w:rsidR="0005375E" w:rsidRPr="00130C7A">
        <w:rPr>
          <w:lang w:val="fr-FR"/>
        </w:rPr>
        <w:t>fournie</w:t>
      </w:r>
      <w:r w:rsidR="00CB7FA9" w:rsidRPr="00130C7A">
        <w:rPr>
          <w:lang w:val="fr-FR"/>
        </w:rPr>
        <w:t>s</w:t>
      </w:r>
      <w:r w:rsidR="00EB6874" w:rsidRPr="00130C7A">
        <w:rPr>
          <w:lang w:val="fr-FR"/>
        </w:rPr>
        <w:t xml:space="preserve"> par A. </w:t>
      </w:r>
      <w:r w:rsidR="00BD068E" w:rsidRPr="00130C7A">
        <w:rPr>
          <w:lang w:val="fr-FR"/>
        </w:rPr>
        <w:t xml:space="preserve">aux autorités pénitentiaires </w:t>
      </w:r>
      <w:r w:rsidR="0005375E" w:rsidRPr="00130C7A">
        <w:rPr>
          <w:lang w:val="fr-FR"/>
        </w:rPr>
        <w:t xml:space="preserve">et </w:t>
      </w:r>
      <w:r w:rsidR="00016BD4" w:rsidRPr="00130C7A">
        <w:rPr>
          <w:lang w:val="fr-FR"/>
        </w:rPr>
        <w:t xml:space="preserve">jugées crédibles par </w:t>
      </w:r>
      <w:r w:rsidR="00BD068E" w:rsidRPr="00130C7A">
        <w:rPr>
          <w:lang w:val="fr-FR"/>
        </w:rPr>
        <w:t>celles-ci</w:t>
      </w:r>
      <w:r w:rsidR="00016BD4" w:rsidRPr="00130C7A">
        <w:rPr>
          <w:lang w:val="fr-FR"/>
        </w:rPr>
        <w:t>.</w:t>
      </w:r>
      <w:r w:rsidR="00D53D84" w:rsidRPr="00130C7A">
        <w:rPr>
          <w:lang w:val="fr-FR"/>
        </w:rPr>
        <w:t xml:space="preserve"> </w:t>
      </w:r>
      <w:r w:rsidR="008F6D09" w:rsidRPr="00130C7A">
        <w:rPr>
          <w:lang w:val="fr-FR"/>
        </w:rPr>
        <w:t>Quoi qu</w:t>
      </w:r>
      <w:r w:rsidR="00130C7A" w:rsidRPr="00130C7A">
        <w:rPr>
          <w:lang w:val="fr-FR"/>
        </w:rPr>
        <w:t>’</w:t>
      </w:r>
      <w:r w:rsidR="008F6D09" w:rsidRPr="00130C7A">
        <w:rPr>
          <w:lang w:val="fr-FR"/>
        </w:rPr>
        <w:t>il en soit, pour le Gouvernement, il n</w:t>
      </w:r>
      <w:r w:rsidR="00130C7A" w:rsidRPr="00130C7A">
        <w:rPr>
          <w:lang w:val="fr-FR"/>
        </w:rPr>
        <w:t>’</w:t>
      </w:r>
      <w:r w:rsidR="008F6D09" w:rsidRPr="00130C7A">
        <w:rPr>
          <w:lang w:val="fr-FR"/>
        </w:rPr>
        <w:t>y avait</w:t>
      </w:r>
      <w:r w:rsidR="00D53D84" w:rsidRPr="00130C7A">
        <w:rPr>
          <w:lang w:val="fr-FR"/>
        </w:rPr>
        <w:t xml:space="preserve"> aucune raison sérieuse </w:t>
      </w:r>
      <w:r w:rsidR="00006E68" w:rsidRPr="00130C7A">
        <w:rPr>
          <w:lang w:val="fr-FR"/>
        </w:rPr>
        <w:t>co</w:t>
      </w:r>
      <w:r w:rsidR="008F6D09" w:rsidRPr="00130C7A">
        <w:rPr>
          <w:lang w:val="fr-FR"/>
        </w:rPr>
        <w:t xml:space="preserve">mmandant aux autorités </w:t>
      </w:r>
      <w:r w:rsidR="00164E9D" w:rsidRPr="00130C7A">
        <w:rPr>
          <w:lang w:val="fr-FR"/>
        </w:rPr>
        <w:t>d</w:t>
      </w:r>
      <w:r w:rsidR="00130C7A" w:rsidRPr="00130C7A">
        <w:rPr>
          <w:lang w:val="fr-FR"/>
        </w:rPr>
        <w:t>’</w:t>
      </w:r>
      <w:r w:rsidR="0005375E" w:rsidRPr="00130C7A">
        <w:rPr>
          <w:lang w:val="fr-FR"/>
        </w:rPr>
        <w:t>adopter des restrictions</w:t>
      </w:r>
      <w:r w:rsidR="009670EA" w:rsidRPr="00130C7A">
        <w:rPr>
          <w:lang w:val="fr-FR"/>
        </w:rPr>
        <w:t xml:space="preserve"> dans la distribution de cartouches de gaz</w:t>
      </w:r>
      <w:r w:rsidR="0005375E" w:rsidRPr="00130C7A">
        <w:rPr>
          <w:lang w:val="fr-FR"/>
        </w:rPr>
        <w:t xml:space="preserve">, </w:t>
      </w:r>
      <w:r w:rsidR="008F6D09" w:rsidRPr="00130C7A">
        <w:rPr>
          <w:lang w:val="fr-FR"/>
        </w:rPr>
        <w:t xml:space="preserve">lesquelles </w:t>
      </w:r>
      <w:r w:rsidR="007322A5" w:rsidRPr="00130C7A">
        <w:rPr>
          <w:lang w:val="fr-FR"/>
        </w:rPr>
        <w:t>restrictions auraien</w:t>
      </w:r>
      <w:r w:rsidR="00D53D84" w:rsidRPr="00130C7A">
        <w:rPr>
          <w:lang w:val="fr-FR"/>
        </w:rPr>
        <w:t xml:space="preserve">t </w:t>
      </w:r>
      <w:r w:rsidR="0005375E" w:rsidRPr="00130C7A">
        <w:rPr>
          <w:lang w:val="fr-FR"/>
        </w:rPr>
        <w:t>d</w:t>
      </w:r>
      <w:r w:rsidR="00130C7A" w:rsidRPr="00130C7A">
        <w:rPr>
          <w:lang w:val="fr-FR"/>
        </w:rPr>
        <w:t>’</w:t>
      </w:r>
      <w:r w:rsidR="0005375E" w:rsidRPr="00130C7A">
        <w:rPr>
          <w:lang w:val="fr-FR"/>
        </w:rPr>
        <w:t xml:space="preserve">ailleurs également </w:t>
      </w:r>
      <w:r w:rsidR="00B368CE" w:rsidRPr="00130C7A">
        <w:rPr>
          <w:lang w:val="fr-FR"/>
        </w:rPr>
        <w:t xml:space="preserve">eu un impact sur </w:t>
      </w:r>
      <w:r w:rsidR="00D53D84" w:rsidRPr="00130C7A">
        <w:rPr>
          <w:lang w:val="fr-FR"/>
        </w:rPr>
        <w:t>les codétenus d</w:t>
      </w:r>
      <w:r w:rsidR="005945AB" w:rsidRPr="00130C7A">
        <w:rPr>
          <w:lang w:val="fr-FR"/>
        </w:rPr>
        <w:t xml:space="preserve">e </w:t>
      </w:r>
      <w:r w:rsidR="00D53D84" w:rsidRPr="00130C7A">
        <w:rPr>
          <w:lang w:val="fr-FR"/>
        </w:rPr>
        <w:t>A.</w:t>
      </w:r>
    </w:p>
    <w:p w:rsidR="001E0028" w:rsidRPr="00130C7A" w:rsidRDefault="00016BD4"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69</w:t>
      </w:r>
      <w:r w:rsidRPr="00130C7A">
        <w:rPr>
          <w:lang w:val="fr-FR"/>
        </w:rPr>
        <w:fldChar w:fldCharType="end"/>
      </w:r>
      <w:r w:rsidRPr="00130C7A">
        <w:rPr>
          <w:lang w:val="fr-FR"/>
        </w:rPr>
        <w:t>.  </w:t>
      </w:r>
      <w:r w:rsidR="008F6D09" w:rsidRPr="00130C7A">
        <w:rPr>
          <w:lang w:val="fr-FR"/>
        </w:rPr>
        <w:t>Le Gouvernement plaide e</w:t>
      </w:r>
      <w:r w:rsidR="00FF5F7A" w:rsidRPr="00130C7A">
        <w:rPr>
          <w:lang w:val="fr-FR"/>
        </w:rPr>
        <w:t>n outre</w:t>
      </w:r>
      <w:r w:rsidR="008F6D09" w:rsidRPr="00130C7A">
        <w:rPr>
          <w:lang w:val="fr-FR"/>
        </w:rPr>
        <w:t xml:space="preserve"> que</w:t>
      </w:r>
      <w:r w:rsidR="0094606F" w:rsidRPr="00130C7A">
        <w:rPr>
          <w:lang w:val="fr-FR"/>
        </w:rPr>
        <w:t xml:space="preserve"> la consommation de cartouch</w:t>
      </w:r>
      <w:r w:rsidR="00FF5F7A" w:rsidRPr="00130C7A">
        <w:rPr>
          <w:lang w:val="fr-FR"/>
        </w:rPr>
        <w:t xml:space="preserve">es de gaz </w:t>
      </w:r>
      <w:r w:rsidR="008F6D09" w:rsidRPr="00130C7A">
        <w:rPr>
          <w:lang w:val="fr-FR"/>
        </w:rPr>
        <w:t>par</w:t>
      </w:r>
      <w:r w:rsidR="00FF5F7A" w:rsidRPr="00130C7A">
        <w:rPr>
          <w:lang w:val="fr-FR"/>
        </w:rPr>
        <w:t xml:space="preserve"> la victime n</w:t>
      </w:r>
      <w:r w:rsidR="00130C7A" w:rsidRPr="00130C7A">
        <w:rPr>
          <w:lang w:val="fr-FR"/>
        </w:rPr>
        <w:t>’</w:t>
      </w:r>
      <w:r w:rsidR="00FF5F7A" w:rsidRPr="00130C7A">
        <w:rPr>
          <w:lang w:val="fr-FR"/>
        </w:rPr>
        <w:t>étai</w:t>
      </w:r>
      <w:r w:rsidR="0094606F" w:rsidRPr="00130C7A">
        <w:rPr>
          <w:lang w:val="fr-FR"/>
        </w:rPr>
        <w:t xml:space="preserve">t pas déraisonnable par rapport à la consommation moyenne des </w:t>
      </w:r>
      <w:r w:rsidR="00FF5F7A" w:rsidRPr="00130C7A">
        <w:rPr>
          <w:lang w:val="fr-FR"/>
        </w:rPr>
        <w:t xml:space="preserve">autres </w:t>
      </w:r>
      <w:r w:rsidR="0094606F" w:rsidRPr="00130C7A">
        <w:rPr>
          <w:lang w:val="fr-FR"/>
        </w:rPr>
        <w:t>détenus</w:t>
      </w:r>
      <w:r w:rsidR="00FF5F7A" w:rsidRPr="00130C7A">
        <w:rPr>
          <w:lang w:val="fr-FR"/>
        </w:rPr>
        <w:t xml:space="preserve"> </w:t>
      </w:r>
      <w:r w:rsidR="0005375E" w:rsidRPr="00130C7A">
        <w:rPr>
          <w:lang w:val="fr-FR"/>
        </w:rPr>
        <w:t xml:space="preserve">de la prison </w:t>
      </w:r>
      <w:r w:rsidR="00FF5F7A" w:rsidRPr="00130C7A">
        <w:rPr>
          <w:lang w:val="fr-FR"/>
        </w:rPr>
        <w:t>et</w:t>
      </w:r>
      <w:r w:rsidR="008F6D09" w:rsidRPr="00130C7A">
        <w:rPr>
          <w:lang w:val="fr-FR"/>
        </w:rPr>
        <w:t xml:space="preserve"> qu</w:t>
      </w:r>
      <w:r w:rsidR="00130C7A" w:rsidRPr="00130C7A">
        <w:rPr>
          <w:lang w:val="fr-FR"/>
        </w:rPr>
        <w:t>’</w:t>
      </w:r>
      <w:r w:rsidR="008F6D09" w:rsidRPr="00130C7A">
        <w:rPr>
          <w:lang w:val="fr-FR"/>
        </w:rPr>
        <w:t>elle</w:t>
      </w:r>
      <w:r w:rsidR="00FF5F7A" w:rsidRPr="00130C7A">
        <w:rPr>
          <w:lang w:val="fr-FR"/>
        </w:rPr>
        <w:t xml:space="preserve"> pouvait être justifiée </w:t>
      </w:r>
      <w:r w:rsidR="00F62A06" w:rsidRPr="00130C7A">
        <w:rPr>
          <w:lang w:val="fr-FR"/>
        </w:rPr>
        <w:t>compte tenu de</w:t>
      </w:r>
      <w:r w:rsidR="00FF5F7A" w:rsidRPr="00130C7A">
        <w:rPr>
          <w:lang w:val="fr-FR"/>
        </w:rPr>
        <w:t xml:space="preserve"> la quantité de nourriture </w:t>
      </w:r>
      <w:r w:rsidR="00A3537B" w:rsidRPr="00130C7A">
        <w:rPr>
          <w:lang w:val="fr-FR"/>
        </w:rPr>
        <w:t>cuisinée</w:t>
      </w:r>
      <w:r w:rsidR="00FF5F7A" w:rsidRPr="00130C7A">
        <w:rPr>
          <w:lang w:val="fr-FR"/>
        </w:rPr>
        <w:t xml:space="preserve"> par </w:t>
      </w:r>
      <w:r w:rsidR="008F6D09" w:rsidRPr="00130C7A">
        <w:rPr>
          <w:lang w:val="fr-FR"/>
        </w:rPr>
        <w:t>le proche du requérant</w:t>
      </w:r>
      <w:r w:rsidR="00FF5F7A" w:rsidRPr="00130C7A">
        <w:rPr>
          <w:lang w:val="fr-FR"/>
        </w:rPr>
        <w:t xml:space="preserve">. Selon le Gouvernement, </w:t>
      </w:r>
      <w:r w:rsidR="007A4946" w:rsidRPr="00130C7A">
        <w:rPr>
          <w:lang w:val="fr-FR"/>
        </w:rPr>
        <w:t>les investigations ont permis tout au plus d</w:t>
      </w:r>
      <w:r w:rsidR="00130C7A" w:rsidRPr="00130C7A">
        <w:rPr>
          <w:lang w:val="fr-FR"/>
        </w:rPr>
        <w:t>’</w:t>
      </w:r>
      <w:r w:rsidR="007A4946" w:rsidRPr="00130C7A">
        <w:rPr>
          <w:lang w:val="fr-FR"/>
        </w:rPr>
        <w:t xml:space="preserve">établir que la victime ne prenait </w:t>
      </w:r>
      <w:r w:rsidR="0094606F" w:rsidRPr="00130C7A">
        <w:rPr>
          <w:lang w:val="fr-FR"/>
        </w:rPr>
        <w:t>pas</w:t>
      </w:r>
      <w:r w:rsidR="007A4946" w:rsidRPr="00130C7A">
        <w:rPr>
          <w:lang w:val="fr-FR"/>
        </w:rPr>
        <w:t xml:space="preserve"> soin de sa santé </w:t>
      </w:r>
      <w:r w:rsidR="001017B9" w:rsidRPr="00130C7A">
        <w:rPr>
          <w:lang w:val="fr-FR"/>
        </w:rPr>
        <w:t xml:space="preserve">et </w:t>
      </w:r>
      <w:r w:rsidR="0094606F" w:rsidRPr="00130C7A">
        <w:rPr>
          <w:lang w:val="fr-FR"/>
        </w:rPr>
        <w:t>qu</w:t>
      </w:r>
      <w:r w:rsidR="00130C7A" w:rsidRPr="00130C7A">
        <w:rPr>
          <w:lang w:val="fr-FR"/>
        </w:rPr>
        <w:t>’</w:t>
      </w:r>
      <w:r w:rsidR="008F6D09" w:rsidRPr="00130C7A">
        <w:rPr>
          <w:lang w:val="fr-FR"/>
        </w:rPr>
        <w:t>elle</w:t>
      </w:r>
      <w:r w:rsidR="0094606F" w:rsidRPr="00130C7A">
        <w:rPr>
          <w:lang w:val="fr-FR"/>
        </w:rPr>
        <w:t xml:space="preserve"> ava</w:t>
      </w:r>
      <w:r w:rsidR="00FF5F7A" w:rsidRPr="00130C7A">
        <w:rPr>
          <w:lang w:val="fr-FR"/>
        </w:rPr>
        <w:t xml:space="preserve">it une tendance à </w:t>
      </w:r>
      <w:r w:rsidR="00667BA5" w:rsidRPr="00130C7A">
        <w:rPr>
          <w:lang w:val="fr-FR"/>
        </w:rPr>
        <w:t>s</w:t>
      </w:r>
      <w:r w:rsidR="00130C7A" w:rsidRPr="00130C7A">
        <w:rPr>
          <w:lang w:val="fr-FR"/>
        </w:rPr>
        <w:t>’</w:t>
      </w:r>
      <w:r w:rsidR="00667BA5" w:rsidRPr="00130C7A">
        <w:rPr>
          <w:lang w:val="fr-FR"/>
        </w:rPr>
        <w:t>intoxiquer</w:t>
      </w:r>
      <w:r w:rsidR="008F6D09" w:rsidRPr="00130C7A">
        <w:rPr>
          <w:lang w:val="fr-FR"/>
        </w:rPr>
        <w:t>,</w:t>
      </w:r>
      <w:r w:rsidR="0094606F" w:rsidRPr="00130C7A">
        <w:rPr>
          <w:lang w:val="fr-FR"/>
        </w:rPr>
        <w:t xml:space="preserve"> ty</w:t>
      </w:r>
      <w:r w:rsidR="00EB6874" w:rsidRPr="00130C7A">
        <w:rPr>
          <w:lang w:val="fr-FR"/>
        </w:rPr>
        <w:t>pique des personnes toxicomanes.</w:t>
      </w:r>
      <w:r w:rsidR="00050947" w:rsidRPr="00130C7A">
        <w:rPr>
          <w:lang w:val="fr-FR"/>
        </w:rPr>
        <w:t xml:space="preserve"> </w:t>
      </w:r>
      <w:r w:rsidR="008D3BA8" w:rsidRPr="00130C7A">
        <w:rPr>
          <w:lang w:val="fr-FR"/>
        </w:rPr>
        <w:t>En revanche, les autorités pénitentiaires n</w:t>
      </w:r>
      <w:r w:rsidR="00130C7A" w:rsidRPr="00130C7A">
        <w:rPr>
          <w:lang w:val="fr-FR"/>
        </w:rPr>
        <w:t>’</w:t>
      </w:r>
      <w:r w:rsidR="008D3BA8" w:rsidRPr="00130C7A">
        <w:rPr>
          <w:lang w:val="fr-FR"/>
        </w:rPr>
        <w:t>auraient pas fait montre d</w:t>
      </w:r>
      <w:r w:rsidR="00130C7A" w:rsidRPr="00130C7A">
        <w:rPr>
          <w:lang w:val="fr-FR"/>
        </w:rPr>
        <w:t>’</w:t>
      </w:r>
      <w:r w:rsidR="008D3BA8" w:rsidRPr="00130C7A">
        <w:rPr>
          <w:lang w:val="fr-FR"/>
        </w:rPr>
        <w:t xml:space="preserve">une </w:t>
      </w:r>
      <w:r w:rsidR="00EB2D73" w:rsidRPr="00130C7A">
        <w:rPr>
          <w:lang w:val="fr-FR"/>
        </w:rPr>
        <w:t xml:space="preserve">quelconque négligence et ne seraient donc pas responsables du </w:t>
      </w:r>
      <w:r w:rsidR="00F5470B" w:rsidRPr="00130C7A">
        <w:rPr>
          <w:lang w:val="fr-FR"/>
        </w:rPr>
        <w:t>décès</w:t>
      </w:r>
      <w:r w:rsidR="00EB2D73" w:rsidRPr="00130C7A">
        <w:rPr>
          <w:lang w:val="fr-FR"/>
        </w:rPr>
        <w:t>, puisqu</w:t>
      </w:r>
      <w:r w:rsidR="00130C7A" w:rsidRPr="00130C7A">
        <w:rPr>
          <w:lang w:val="fr-FR"/>
        </w:rPr>
        <w:t>’</w:t>
      </w:r>
      <w:r w:rsidR="00EB2D73" w:rsidRPr="00130C7A">
        <w:rPr>
          <w:lang w:val="fr-FR"/>
        </w:rPr>
        <w:t>elle</w:t>
      </w:r>
      <w:r w:rsidR="005010CD" w:rsidRPr="00130C7A">
        <w:rPr>
          <w:lang w:val="fr-FR"/>
        </w:rPr>
        <w:t>s</w:t>
      </w:r>
      <w:r w:rsidR="00EB2D73" w:rsidRPr="00130C7A">
        <w:rPr>
          <w:lang w:val="fr-FR"/>
        </w:rPr>
        <w:t xml:space="preserve"> auraient</w:t>
      </w:r>
      <w:r w:rsidR="003B76AB" w:rsidRPr="00130C7A">
        <w:rPr>
          <w:lang w:val="fr-FR"/>
        </w:rPr>
        <w:t xml:space="preserve"> toujours pris en charge le suivi médical </w:t>
      </w:r>
      <w:r w:rsidR="00682F2C" w:rsidRPr="00130C7A">
        <w:rPr>
          <w:lang w:val="fr-FR"/>
        </w:rPr>
        <w:t xml:space="preserve">et psychothérapique </w:t>
      </w:r>
      <w:r w:rsidR="003B76AB" w:rsidRPr="00130C7A">
        <w:rPr>
          <w:lang w:val="fr-FR"/>
        </w:rPr>
        <w:t xml:space="preserve">des pathologies </w:t>
      </w:r>
      <w:r w:rsidR="00EB2D73" w:rsidRPr="00130C7A">
        <w:rPr>
          <w:lang w:val="fr-FR"/>
        </w:rPr>
        <w:t>de</w:t>
      </w:r>
      <w:r w:rsidR="003B76AB" w:rsidRPr="00130C7A">
        <w:rPr>
          <w:lang w:val="fr-FR"/>
        </w:rPr>
        <w:t xml:space="preserve"> A</w:t>
      </w:r>
      <w:r w:rsidR="0005375E" w:rsidRPr="00130C7A">
        <w:rPr>
          <w:lang w:val="fr-FR"/>
        </w:rPr>
        <w:t xml:space="preserve">., y compris sa </w:t>
      </w:r>
      <w:r w:rsidR="003321D2" w:rsidRPr="00130C7A">
        <w:rPr>
          <w:lang w:val="fr-FR"/>
        </w:rPr>
        <w:t xml:space="preserve">toxicomanie et sa </w:t>
      </w:r>
      <w:r w:rsidR="0005375E" w:rsidRPr="00130C7A">
        <w:rPr>
          <w:lang w:val="fr-FR"/>
        </w:rPr>
        <w:t xml:space="preserve">dépendance </w:t>
      </w:r>
      <w:r w:rsidR="008D3BA8" w:rsidRPr="00130C7A">
        <w:rPr>
          <w:lang w:val="fr-FR"/>
        </w:rPr>
        <w:t>à des</w:t>
      </w:r>
      <w:r w:rsidR="0005375E" w:rsidRPr="00130C7A">
        <w:rPr>
          <w:lang w:val="fr-FR"/>
        </w:rPr>
        <w:t xml:space="preserve"> substances</w:t>
      </w:r>
      <w:r w:rsidR="00421037" w:rsidRPr="00130C7A">
        <w:rPr>
          <w:lang w:val="fr-FR"/>
        </w:rPr>
        <w:t xml:space="preserve"> </w:t>
      </w:r>
      <w:r w:rsidR="00A3537B" w:rsidRPr="00130C7A">
        <w:rPr>
          <w:lang w:val="fr-FR"/>
        </w:rPr>
        <w:t>addictives</w:t>
      </w:r>
      <w:r w:rsidR="0005375E" w:rsidRPr="00130C7A">
        <w:rPr>
          <w:lang w:val="fr-FR"/>
        </w:rPr>
        <w:t>.</w:t>
      </w:r>
    </w:p>
    <w:p w:rsidR="006F0865" w:rsidRPr="00130C7A" w:rsidRDefault="0082513A"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70</w:t>
      </w:r>
      <w:r w:rsidRPr="00130C7A">
        <w:rPr>
          <w:lang w:val="fr-FR"/>
        </w:rPr>
        <w:fldChar w:fldCharType="end"/>
      </w:r>
      <w:r w:rsidRPr="00130C7A">
        <w:rPr>
          <w:lang w:val="fr-FR"/>
        </w:rPr>
        <w:t>.  </w:t>
      </w:r>
      <w:r w:rsidR="006F0865" w:rsidRPr="00130C7A">
        <w:rPr>
          <w:lang w:val="fr-FR"/>
        </w:rPr>
        <w:t>Concernant les précautions mises en place par l</w:t>
      </w:r>
      <w:r w:rsidR="00603523" w:rsidRPr="00130C7A">
        <w:rPr>
          <w:lang w:val="fr-FR"/>
        </w:rPr>
        <w:t>a prison</w:t>
      </w:r>
      <w:r w:rsidR="006F0865" w:rsidRPr="00130C7A">
        <w:rPr>
          <w:lang w:val="fr-FR"/>
        </w:rPr>
        <w:t xml:space="preserve"> de Venise en 2009</w:t>
      </w:r>
      <w:r w:rsidR="00F336C2" w:rsidRPr="00130C7A">
        <w:rPr>
          <w:lang w:val="fr-FR"/>
        </w:rPr>
        <w:t xml:space="preserve"> afin de préserver l</w:t>
      </w:r>
      <w:r w:rsidR="00130C7A" w:rsidRPr="00130C7A">
        <w:rPr>
          <w:lang w:val="fr-FR"/>
        </w:rPr>
        <w:t>’</w:t>
      </w:r>
      <w:r w:rsidR="00F336C2" w:rsidRPr="00130C7A">
        <w:rPr>
          <w:lang w:val="fr-FR"/>
        </w:rPr>
        <w:t>intégrité physique d</w:t>
      </w:r>
      <w:r w:rsidR="00130C7A" w:rsidRPr="00130C7A">
        <w:rPr>
          <w:lang w:val="fr-FR"/>
        </w:rPr>
        <w:t>’</w:t>
      </w:r>
      <w:r w:rsidR="00F336C2" w:rsidRPr="00130C7A">
        <w:rPr>
          <w:lang w:val="fr-FR"/>
        </w:rPr>
        <w:t>un autre détenu</w:t>
      </w:r>
      <w:r w:rsidR="006F0865" w:rsidRPr="00130C7A">
        <w:rPr>
          <w:lang w:val="fr-FR"/>
        </w:rPr>
        <w:t xml:space="preserve">, le Gouvernement </w:t>
      </w:r>
      <w:r w:rsidR="00EB2D73" w:rsidRPr="00130C7A">
        <w:rPr>
          <w:lang w:val="fr-FR"/>
        </w:rPr>
        <w:t>indique</w:t>
      </w:r>
      <w:r w:rsidR="006F0865" w:rsidRPr="00130C7A">
        <w:rPr>
          <w:lang w:val="fr-FR"/>
        </w:rPr>
        <w:t xml:space="preserve"> tout d</w:t>
      </w:r>
      <w:r w:rsidR="00130C7A" w:rsidRPr="00130C7A">
        <w:rPr>
          <w:lang w:val="fr-FR"/>
        </w:rPr>
        <w:t>’</w:t>
      </w:r>
      <w:r w:rsidR="006F0865" w:rsidRPr="00130C7A">
        <w:rPr>
          <w:lang w:val="fr-FR"/>
        </w:rPr>
        <w:t xml:space="preserve">abord que ledit détenu avait été surpris à deux reprises </w:t>
      </w:r>
      <w:r w:rsidR="00EB2D73" w:rsidRPr="00130C7A">
        <w:rPr>
          <w:lang w:val="fr-FR"/>
        </w:rPr>
        <w:t>en train d</w:t>
      </w:r>
      <w:r w:rsidR="00130C7A" w:rsidRPr="00130C7A">
        <w:rPr>
          <w:lang w:val="fr-FR"/>
        </w:rPr>
        <w:t>’</w:t>
      </w:r>
      <w:r w:rsidR="006F0865" w:rsidRPr="00130C7A">
        <w:rPr>
          <w:lang w:val="fr-FR"/>
        </w:rPr>
        <w:t xml:space="preserve">inhaler </w:t>
      </w:r>
      <w:r w:rsidR="00EB2D73" w:rsidRPr="00130C7A">
        <w:rPr>
          <w:lang w:val="fr-FR"/>
        </w:rPr>
        <w:t>du</w:t>
      </w:r>
      <w:r w:rsidR="006F0865" w:rsidRPr="00130C7A">
        <w:rPr>
          <w:lang w:val="fr-FR"/>
        </w:rPr>
        <w:t xml:space="preserve"> gaz et</w:t>
      </w:r>
      <w:r w:rsidR="00EB2D73" w:rsidRPr="00130C7A">
        <w:rPr>
          <w:lang w:val="fr-FR"/>
        </w:rPr>
        <w:t xml:space="preserve"> qu</w:t>
      </w:r>
      <w:r w:rsidR="00130C7A" w:rsidRPr="00130C7A">
        <w:rPr>
          <w:lang w:val="fr-FR"/>
        </w:rPr>
        <w:t>’</w:t>
      </w:r>
      <w:r w:rsidR="00EB2D73" w:rsidRPr="00130C7A">
        <w:rPr>
          <w:lang w:val="fr-FR"/>
        </w:rPr>
        <w:t>il</w:t>
      </w:r>
      <w:r w:rsidR="004429DF" w:rsidRPr="00130C7A">
        <w:rPr>
          <w:lang w:val="fr-FR"/>
        </w:rPr>
        <w:t xml:space="preserve"> </w:t>
      </w:r>
      <w:r w:rsidR="006F0865" w:rsidRPr="00130C7A">
        <w:rPr>
          <w:lang w:val="fr-FR"/>
        </w:rPr>
        <w:t xml:space="preserve">avait </w:t>
      </w:r>
      <w:r w:rsidR="004429DF" w:rsidRPr="00130C7A">
        <w:rPr>
          <w:lang w:val="fr-FR"/>
        </w:rPr>
        <w:t xml:space="preserve">reconnu les faits, contrairement à A. En outre, </w:t>
      </w:r>
      <w:r w:rsidR="00EB2D73" w:rsidRPr="00130C7A">
        <w:rPr>
          <w:lang w:val="fr-FR"/>
        </w:rPr>
        <w:t>selon l</w:t>
      </w:r>
      <w:r w:rsidR="00844EA0" w:rsidRPr="00130C7A">
        <w:rPr>
          <w:lang w:val="fr-FR"/>
        </w:rPr>
        <w:t>e gouvernement défendeur</w:t>
      </w:r>
      <w:r w:rsidR="00EB2D73" w:rsidRPr="00130C7A">
        <w:rPr>
          <w:lang w:val="fr-FR"/>
        </w:rPr>
        <w:t xml:space="preserve">, </w:t>
      </w:r>
      <w:r w:rsidR="007322A5" w:rsidRPr="00130C7A">
        <w:rPr>
          <w:lang w:val="fr-FR"/>
        </w:rPr>
        <w:t>en 2009</w:t>
      </w:r>
      <w:r w:rsidR="00EB2D73" w:rsidRPr="00130C7A">
        <w:rPr>
          <w:lang w:val="fr-FR"/>
        </w:rPr>
        <w:t>,</w:t>
      </w:r>
      <w:r w:rsidR="007322A5" w:rsidRPr="00130C7A">
        <w:rPr>
          <w:lang w:val="fr-FR"/>
        </w:rPr>
        <w:t xml:space="preserve"> </w:t>
      </w:r>
      <w:r w:rsidR="004429DF" w:rsidRPr="00130C7A">
        <w:rPr>
          <w:lang w:val="fr-FR"/>
        </w:rPr>
        <w:t>l</w:t>
      </w:r>
      <w:r w:rsidR="00603523" w:rsidRPr="00130C7A">
        <w:rPr>
          <w:lang w:val="fr-FR"/>
        </w:rPr>
        <w:t>a prison</w:t>
      </w:r>
      <w:r w:rsidR="004429DF" w:rsidRPr="00130C7A">
        <w:rPr>
          <w:lang w:val="fr-FR"/>
        </w:rPr>
        <w:t xml:space="preserve"> avait acquis une </w:t>
      </w:r>
      <w:r w:rsidR="005A12DF" w:rsidRPr="00130C7A">
        <w:rPr>
          <w:lang w:val="fr-FR"/>
        </w:rPr>
        <w:t>expérience</w:t>
      </w:r>
      <w:r w:rsidR="004429DF" w:rsidRPr="00130C7A">
        <w:rPr>
          <w:lang w:val="fr-FR"/>
        </w:rPr>
        <w:t xml:space="preserve"> </w:t>
      </w:r>
      <w:r w:rsidR="00F336C2" w:rsidRPr="00130C7A">
        <w:rPr>
          <w:lang w:val="fr-FR"/>
        </w:rPr>
        <w:t>concernant les</w:t>
      </w:r>
      <w:r w:rsidR="004429DF" w:rsidRPr="00130C7A">
        <w:rPr>
          <w:lang w:val="fr-FR"/>
        </w:rPr>
        <w:t xml:space="preserve"> risques </w:t>
      </w:r>
      <w:r w:rsidR="00614006" w:rsidRPr="00130C7A">
        <w:rPr>
          <w:lang w:val="fr-FR"/>
        </w:rPr>
        <w:t xml:space="preserve">découlant </w:t>
      </w:r>
      <w:r w:rsidR="004429DF" w:rsidRPr="00130C7A">
        <w:rPr>
          <w:lang w:val="fr-FR"/>
        </w:rPr>
        <w:t>de l</w:t>
      </w:r>
      <w:r w:rsidR="00130C7A" w:rsidRPr="00130C7A">
        <w:rPr>
          <w:lang w:val="fr-FR"/>
        </w:rPr>
        <w:t>’</w:t>
      </w:r>
      <w:r w:rsidR="004429DF" w:rsidRPr="00130C7A">
        <w:rPr>
          <w:lang w:val="fr-FR"/>
        </w:rPr>
        <w:t>inhalation de gaz qu</w:t>
      </w:r>
      <w:r w:rsidR="00130C7A" w:rsidRPr="00130C7A">
        <w:rPr>
          <w:lang w:val="fr-FR"/>
        </w:rPr>
        <w:t>’</w:t>
      </w:r>
      <w:r w:rsidR="00614006" w:rsidRPr="00130C7A">
        <w:rPr>
          <w:lang w:val="fr-FR"/>
        </w:rPr>
        <w:t>elle</w:t>
      </w:r>
      <w:r w:rsidR="004429DF" w:rsidRPr="00130C7A">
        <w:rPr>
          <w:lang w:val="fr-FR"/>
        </w:rPr>
        <w:t xml:space="preserve"> n</w:t>
      </w:r>
      <w:r w:rsidR="00130C7A" w:rsidRPr="00130C7A">
        <w:rPr>
          <w:lang w:val="fr-FR"/>
        </w:rPr>
        <w:t>’</w:t>
      </w:r>
      <w:r w:rsidR="004429DF" w:rsidRPr="00130C7A">
        <w:rPr>
          <w:lang w:val="fr-FR"/>
        </w:rPr>
        <w:t>avait pas en 2005, lors du décès du neveu du requérant.</w:t>
      </w:r>
    </w:p>
    <w:p w:rsidR="001E0028" w:rsidRPr="00130C7A" w:rsidRDefault="00F62A0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71</w:t>
      </w:r>
      <w:r w:rsidRPr="00130C7A">
        <w:rPr>
          <w:lang w:val="fr-FR"/>
        </w:rPr>
        <w:fldChar w:fldCharType="end"/>
      </w:r>
      <w:r w:rsidRPr="00130C7A">
        <w:rPr>
          <w:lang w:val="fr-FR"/>
        </w:rPr>
        <w:t>.  S</w:t>
      </w:r>
      <w:r w:rsidR="00130C7A" w:rsidRPr="00130C7A">
        <w:rPr>
          <w:lang w:val="fr-FR"/>
        </w:rPr>
        <w:t>’</w:t>
      </w:r>
      <w:r w:rsidRPr="00130C7A">
        <w:rPr>
          <w:lang w:val="fr-FR"/>
        </w:rPr>
        <w:t xml:space="preserve">agissant </w:t>
      </w:r>
      <w:r w:rsidR="004D1A04" w:rsidRPr="00130C7A">
        <w:rPr>
          <w:lang w:val="fr-FR"/>
        </w:rPr>
        <w:t>du volet procédural de l</w:t>
      </w:r>
      <w:r w:rsidR="00130C7A" w:rsidRPr="00130C7A">
        <w:rPr>
          <w:lang w:val="fr-FR"/>
        </w:rPr>
        <w:t>’</w:t>
      </w:r>
      <w:r w:rsidR="004D1A04" w:rsidRPr="00130C7A">
        <w:rPr>
          <w:lang w:val="fr-FR"/>
        </w:rPr>
        <w:t>article 2</w:t>
      </w:r>
      <w:r w:rsidR="00614006" w:rsidRPr="00130C7A">
        <w:rPr>
          <w:lang w:val="fr-FR"/>
        </w:rPr>
        <w:t xml:space="preserve"> de la Convention</w:t>
      </w:r>
      <w:r w:rsidR="004D1A04" w:rsidRPr="00130C7A">
        <w:rPr>
          <w:lang w:val="fr-FR"/>
        </w:rPr>
        <w:t>, l</w:t>
      </w:r>
      <w:r w:rsidR="00614006" w:rsidRPr="00130C7A">
        <w:rPr>
          <w:lang w:val="fr-FR"/>
        </w:rPr>
        <w:t>e</w:t>
      </w:r>
      <w:r w:rsidR="004D1A04" w:rsidRPr="00130C7A">
        <w:rPr>
          <w:lang w:val="fr-FR"/>
        </w:rPr>
        <w:t xml:space="preserve"> Gouvernement </w:t>
      </w:r>
      <w:r w:rsidR="00614006" w:rsidRPr="00130C7A">
        <w:rPr>
          <w:lang w:val="fr-FR"/>
        </w:rPr>
        <w:t xml:space="preserve">soutient </w:t>
      </w:r>
      <w:r w:rsidR="004D1A04" w:rsidRPr="00130C7A">
        <w:rPr>
          <w:lang w:val="fr-FR"/>
        </w:rPr>
        <w:t>qu</w:t>
      </w:r>
      <w:r w:rsidR="00130C7A" w:rsidRPr="00130C7A">
        <w:rPr>
          <w:lang w:val="fr-FR"/>
        </w:rPr>
        <w:t>’</w:t>
      </w:r>
      <w:r w:rsidR="004D1A04" w:rsidRPr="00130C7A">
        <w:rPr>
          <w:lang w:val="fr-FR"/>
        </w:rPr>
        <w:t>il y a eu en l</w:t>
      </w:r>
      <w:r w:rsidR="00130C7A" w:rsidRPr="00130C7A">
        <w:rPr>
          <w:lang w:val="fr-FR"/>
        </w:rPr>
        <w:t>’</w:t>
      </w:r>
      <w:r w:rsidR="004D1A04" w:rsidRPr="00130C7A">
        <w:rPr>
          <w:lang w:val="fr-FR"/>
        </w:rPr>
        <w:t>espèce une enqu</w:t>
      </w:r>
      <w:r w:rsidR="00310D4A" w:rsidRPr="00130C7A">
        <w:rPr>
          <w:lang w:val="fr-FR"/>
        </w:rPr>
        <w:t xml:space="preserve">ête effective. </w:t>
      </w:r>
      <w:r w:rsidR="005A12DF" w:rsidRPr="00130C7A">
        <w:rPr>
          <w:lang w:val="fr-FR"/>
        </w:rPr>
        <w:t>Les autorités d</w:t>
      </w:r>
      <w:r w:rsidR="00130C7A" w:rsidRPr="00130C7A">
        <w:rPr>
          <w:lang w:val="fr-FR"/>
        </w:rPr>
        <w:t>’</w:t>
      </w:r>
      <w:r w:rsidR="005A12DF" w:rsidRPr="00130C7A">
        <w:rPr>
          <w:lang w:val="fr-FR"/>
        </w:rPr>
        <w:t xml:space="preserve">enquête </w:t>
      </w:r>
      <w:r w:rsidR="00614006" w:rsidRPr="00130C7A">
        <w:rPr>
          <w:lang w:val="fr-FR"/>
        </w:rPr>
        <w:t>auraient été</w:t>
      </w:r>
      <w:r w:rsidR="005A12DF" w:rsidRPr="00130C7A">
        <w:rPr>
          <w:lang w:val="fr-FR"/>
        </w:rPr>
        <w:t xml:space="preserve"> immédiatement s</w:t>
      </w:r>
      <w:r w:rsidR="007F5EB5" w:rsidRPr="00130C7A">
        <w:rPr>
          <w:lang w:val="fr-FR"/>
        </w:rPr>
        <w:t xml:space="preserve">aisies, </w:t>
      </w:r>
      <w:r w:rsidR="00614006" w:rsidRPr="00130C7A">
        <w:rPr>
          <w:lang w:val="fr-FR"/>
        </w:rPr>
        <w:t xml:space="preserve">et </w:t>
      </w:r>
      <w:r w:rsidR="007F5EB5" w:rsidRPr="00130C7A">
        <w:rPr>
          <w:lang w:val="fr-FR"/>
        </w:rPr>
        <w:t>l</w:t>
      </w:r>
      <w:r w:rsidR="00130C7A" w:rsidRPr="00130C7A">
        <w:rPr>
          <w:lang w:val="fr-FR"/>
        </w:rPr>
        <w:t>’</w:t>
      </w:r>
      <w:r w:rsidR="007F5EB5" w:rsidRPr="00130C7A">
        <w:rPr>
          <w:lang w:val="fr-FR"/>
        </w:rPr>
        <w:t>autopsie a</w:t>
      </w:r>
      <w:r w:rsidR="00614006" w:rsidRPr="00130C7A">
        <w:rPr>
          <w:lang w:val="fr-FR"/>
        </w:rPr>
        <w:t>urait</w:t>
      </w:r>
      <w:r w:rsidR="007F5EB5" w:rsidRPr="00130C7A">
        <w:rPr>
          <w:lang w:val="fr-FR"/>
        </w:rPr>
        <w:t xml:space="preserve"> été aussitôt effectuée sur le corps de la victime, </w:t>
      </w:r>
      <w:r w:rsidR="00614006" w:rsidRPr="00130C7A">
        <w:rPr>
          <w:lang w:val="fr-FR"/>
        </w:rPr>
        <w:t>de même</w:t>
      </w:r>
      <w:r w:rsidR="007F5EB5" w:rsidRPr="00130C7A">
        <w:rPr>
          <w:lang w:val="fr-FR"/>
        </w:rPr>
        <w:t xml:space="preserve"> que deux expertises techniques visant à </w:t>
      </w:r>
      <w:r w:rsidR="00614006" w:rsidRPr="00130C7A">
        <w:rPr>
          <w:lang w:val="fr-FR"/>
        </w:rPr>
        <w:t>l</w:t>
      </w:r>
      <w:r w:rsidR="00130C7A" w:rsidRPr="00130C7A">
        <w:rPr>
          <w:lang w:val="fr-FR"/>
        </w:rPr>
        <w:t>’</w:t>
      </w:r>
      <w:r w:rsidR="00614006" w:rsidRPr="00130C7A">
        <w:rPr>
          <w:lang w:val="fr-FR"/>
        </w:rPr>
        <w:t>établissement</w:t>
      </w:r>
      <w:r w:rsidR="001E0028" w:rsidRPr="00130C7A">
        <w:rPr>
          <w:lang w:val="fr-FR"/>
        </w:rPr>
        <w:t xml:space="preserve"> </w:t>
      </w:r>
      <w:r w:rsidR="00614006" w:rsidRPr="00130C7A">
        <w:rPr>
          <w:lang w:val="fr-FR"/>
        </w:rPr>
        <w:t xml:space="preserve">de </w:t>
      </w:r>
      <w:r w:rsidR="007F5EB5" w:rsidRPr="00130C7A">
        <w:rPr>
          <w:lang w:val="fr-FR"/>
        </w:rPr>
        <w:t>l</w:t>
      </w:r>
      <w:r w:rsidR="00614006" w:rsidRPr="00130C7A">
        <w:rPr>
          <w:lang w:val="fr-FR"/>
        </w:rPr>
        <w:t>a</w:t>
      </w:r>
      <w:r w:rsidR="007F5EB5" w:rsidRPr="00130C7A">
        <w:rPr>
          <w:lang w:val="fr-FR"/>
        </w:rPr>
        <w:t xml:space="preserve"> </w:t>
      </w:r>
      <w:r w:rsidR="005406C9" w:rsidRPr="00130C7A">
        <w:rPr>
          <w:lang w:val="fr-FR"/>
        </w:rPr>
        <w:t>cause du décès</w:t>
      </w:r>
      <w:r w:rsidR="007F5EB5" w:rsidRPr="00130C7A">
        <w:rPr>
          <w:lang w:val="fr-FR"/>
        </w:rPr>
        <w:t xml:space="preserve">. En outre, de nombreux témoins </w:t>
      </w:r>
      <w:r w:rsidR="00614006" w:rsidRPr="00130C7A">
        <w:rPr>
          <w:lang w:val="fr-FR"/>
        </w:rPr>
        <w:t>auraient</w:t>
      </w:r>
      <w:r w:rsidR="007F5EB5" w:rsidRPr="00130C7A">
        <w:rPr>
          <w:lang w:val="fr-FR"/>
        </w:rPr>
        <w:t xml:space="preserve"> été entendus. Le Gouvernement considère que les </w:t>
      </w:r>
      <w:r w:rsidR="007F5EB5" w:rsidRPr="00130C7A">
        <w:rPr>
          <w:lang w:val="fr-FR"/>
        </w:rPr>
        <w:lastRenderedPageBreak/>
        <w:t>autorités ont accompli toutes les vérifications nécessaires à l</w:t>
      </w:r>
      <w:r w:rsidR="00130C7A" w:rsidRPr="00130C7A">
        <w:rPr>
          <w:lang w:val="fr-FR"/>
        </w:rPr>
        <w:t>’</w:t>
      </w:r>
      <w:r w:rsidR="007F5EB5" w:rsidRPr="00130C7A">
        <w:rPr>
          <w:lang w:val="fr-FR"/>
        </w:rPr>
        <w:t>enquête</w:t>
      </w:r>
      <w:r w:rsidR="00C85B82" w:rsidRPr="00130C7A">
        <w:rPr>
          <w:lang w:val="fr-FR"/>
        </w:rPr>
        <w:t xml:space="preserve"> avec célérité et diligence</w:t>
      </w:r>
      <w:r w:rsidR="007F5EB5" w:rsidRPr="00130C7A">
        <w:rPr>
          <w:lang w:val="fr-FR"/>
        </w:rPr>
        <w:t>.</w:t>
      </w:r>
    </w:p>
    <w:p w:rsidR="001E0028" w:rsidRPr="00130C7A" w:rsidRDefault="007F5EB5"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72</w:t>
      </w:r>
      <w:r w:rsidRPr="00130C7A">
        <w:rPr>
          <w:lang w:val="fr-FR"/>
        </w:rPr>
        <w:fldChar w:fldCharType="end"/>
      </w:r>
      <w:r w:rsidRPr="00130C7A">
        <w:rPr>
          <w:lang w:val="fr-FR"/>
        </w:rPr>
        <w:t>.  </w:t>
      </w:r>
      <w:r w:rsidR="00C32DC1" w:rsidRPr="00130C7A">
        <w:rPr>
          <w:lang w:val="fr-FR"/>
        </w:rPr>
        <w:t xml:space="preserve">Le Gouvernement </w:t>
      </w:r>
      <w:r w:rsidR="00220859" w:rsidRPr="00130C7A">
        <w:rPr>
          <w:lang w:val="fr-FR"/>
        </w:rPr>
        <w:t>estime</w:t>
      </w:r>
      <w:r w:rsidR="00C32DC1" w:rsidRPr="00130C7A">
        <w:rPr>
          <w:lang w:val="fr-FR"/>
        </w:rPr>
        <w:t xml:space="preserve"> par</w:t>
      </w:r>
      <w:r w:rsidR="00977804" w:rsidRPr="00130C7A">
        <w:rPr>
          <w:lang w:val="fr-FR"/>
        </w:rPr>
        <w:t xml:space="preserve"> ailleurs</w:t>
      </w:r>
      <w:r w:rsidR="00C32DC1" w:rsidRPr="00130C7A">
        <w:rPr>
          <w:lang w:val="fr-FR"/>
        </w:rPr>
        <w:t xml:space="preserve"> que</w:t>
      </w:r>
      <w:r w:rsidR="00977804" w:rsidRPr="00130C7A">
        <w:rPr>
          <w:lang w:val="fr-FR"/>
        </w:rPr>
        <w:t xml:space="preserve"> la prescription des faits n</w:t>
      </w:r>
      <w:r w:rsidR="00130C7A" w:rsidRPr="00130C7A">
        <w:rPr>
          <w:lang w:val="fr-FR"/>
        </w:rPr>
        <w:t>’</w:t>
      </w:r>
      <w:r w:rsidR="00977804" w:rsidRPr="00130C7A">
        <w:rPr>
          <w:lang w:val="fr-FR"/>
        </w:rPr>
        <w:t xml:space="preserve">a pas </w:t>
      </w:r>
      <w:r w:rsidR="00220859" w:rsidRPr="00130C7A">
        <w:rPr>
          <w:lang w:val="fr-FR"/>
        </w:rPr>
        <w:t>résulté d</w:t>
      </w:r>
      <w:r w:rsidR="00130C7A" w:rsidRPr="00130C7A">
        <w:rPr>
          <w:lang w:val="fr-FR"/>
        </w:rPr>
        <w:t>’</w:t>
      </w:r>
      <w:r w:rsidR="00220859" w:rsidRPr="00130C7A">
        <w:rPr>
          <w:lang w:val="fr-FR"/>
        </w:rPr>
        <w:t xml:space="preserve">une quelconque </w:t>
      </w:r>
      <w:r w:rsidR="00977804" w:rsidRPr="00130C7A">
        <w:rPr>
          <w:lang w:val="fr-FR"/>
        </w:rPr>
        <w:t xml:space="preserve">inaction des enquêteurs, </w:t>
      </w:r>
      <w:r w:rsidR="00220859" w:rsidRPr="00130C7A">
        <w:rPr>
          <w:lang w:val="fr-FR"/>
        </w:rPr>
        <w:t>ceux-ci ayant</w:t>
      </w:r>
      <w:r w:rsidR="00977804" w:rsidRPr="00130C7A">
        <w:rPr>
          <w:lang w:val="fr-FR"/>
        </w:rPr>
        <w:t xml:space="preserve"> termin</w:t>
      </w:r>
      <w:r w:rsidR="00220859" w:rsidRPr="00130C7A">
        <w:rPr>
          <w:lang w:val="fr-FR"/>
        </w:rPr>
        <w:t>é</w:t>
      </w:r>
      <w:r w:rsidR="00977804" w:rsidRPr="00130C7A">
        <w:rPr>
          <w:lang w:val="fr-FR"/>
        </w:rPr>
        <w:t xml:space="preserve"> le</w:t>
      </w:r>
      <w:r w:rsidR="00483343" w:rsidRPr="00130C7A">
        <w:rPr>
          <w:lang w:val="fr-FR"/>
        </w:rPr>
        <w:t>ur</w:t>
      </w:r>
      <w:r w:rsidR="00977804" w:rsidRPr="00130C7A">
        <w:rPr>
          <w:lang w:val="fr-FR"/>
        </w:rPr>
        <w:t xml:space="preserve">s investigations </w:t>
      </w:r>
      <w:r w:rsidR="00220859" w:rsidRPr="00130C7A">
        <w:rPr>
          <w:lang w:val="fr-FR"/>
        </w:rPr>
        <w:t xml:space="preserve">en 2010, et donc </w:t>
      </w:r>
      <w:r w:rsidR="000A1759" w:rsidRPr="00130C7A">
        <w:rPr>
          <w:lang w:val="fr-FR"/>
        </w:rPr>
        <w:t xml:space="preserve">dans un délai raisonnable, </w:t>
      </w:r>
      <w:r w:rsidR="00220859" w:rsidRPr="00130C7A">
        <w:rPr>
          <w:lang w:val="fr-FR"/>
        </w:rPr>
        <w:t>m</w:t>
      </w:r>
      <w:r w:rsidR="00977804" w:rsidRPr="00130C7A">
        <w:rPr>
          <w:lang w:val="fr-FR"/>
        </w:rPr>
        <w:t>ais d</w:t>
      </w:r>
      <w:r w:rsidR="00130C7A" w:rsidRPr="00130C7A">
        <w:rPr>
          <w:lang w:val="fr-FR"/>
        </w:rPr>
        <w:t>’</w:t>
      </w:r>
      <w:r w:rsidR="00977804" w:rsidRPr="00130C7A">
        <w:rPr>
          <w:lang w:val="fr-FR"/>
        </w:rPr>
        <w:t xml:space="preserve">un choix du parquet de traiter en priorité des affaires </w:t>
      </w:r>
      <w:r w:rsidR="00D40619" w:rsidRPr="00130C7A">
        <w:rPr>
          <w:lang w:val="fr-FR"/>
        </w:rPr>
        <w:t xml:space="preserve">suffisamment </w:t>
      </w:r>
      <w:r w:rsidR="00483343" w:rsidRPr="00130C7A">
        <w:rPr>
          <w:lang w:val="fr-FR"/>
        </w:rPr>
        <w:t xml:space="preserve">étayées par des éléments de preuve. </w:t>
      </w:r>
      <w:r w:rsidR="00220859" w:rsidRPr="00130C7A">
        <w:rPr>
          <w:lang w:val="fr-FR"/>
        </w:rPr>
        <w:t>Il ajoute que, en l</w:t>
      </w:r>
      <w:r w:rsidR="00130C7A" w:rsidRPr="00130C7A">
        <w:rPr>
          <w:lang w:val="fr-FR"/>
        </w:rPr>
        <w:t>’</w:t>
      </w:r>
      <w:r w:rsidR="00220859" w:rsidRPr="00130C7A">
        <w:rPr>
          <w:lang w:val="fr-FR"/>
        </w:rPr>
        <w:t>occurrence</w:t>
      </w:r>
      <w:r w:rsidR="000A1759" w:rsidRPr="00130C7A">
        <w:rPr>
          <w:lang w:val="fr-FR"/>
        </w:rPr>
        <w:t xml:space="preserve">, le parquet était arrivé à la conclusion que </w:t>
      </w:r>
      <w:r w:rsidR="00384293" w:rsidRPr="00130C7A">
        <w:rPr>
          <w:lang w:val="fr-FR"/>
        </w:rPr>
        <w:t>les éléments</w:t>
      </w:r>
      <w:r w:rsidR="00EA63FA" w:rsidRPr="00130C7A">
        <w:rPr>
          <w:lang w:val="fr-FR"/>
        </w:rPr>
        <w:t xml:space="preserve"> probatoires </w:t>
      </w:r>
      <w:r w:rsidR="007654AB" w:rsidRPr="00130C7A">
        <w:rPr>
          <w:lang w:val="fr-FR"/>
        </w:rPr>
        <w:t>recueillis</w:t>
      </w:r>
      <w:r w:rsidR="00E02A34" w:rsidRPr="00130C7A">
        <w:rPr>
          <w:lang w:val="fr-FR"/>
        </w:rPr>
        <w:t xml:space="preserve"> </w:t>
      </w:r>
      <w:r w:rsidR="00384293" w:rsidRPr="00130C7A">
        <w:rPr>
          <w:lang w:val="fr-FR"/>
        </w:rPr>
        <w:t xml:space="preserve">ne permettaient pas </w:t>
      </w:r>
      <w:r w:rsidR="00C32DC1" w:rsidRPr="00130C7A">
        <w:rPr>
          <w:lang w:val="fr-FR"/>
        </w:rPr>
        <w:t>de soutenir</w:t>
      </w:r>
      <w:r w:rsidR="00384293" w:rsidRPr="00130C7A">
        <w:rPr>
          <w:lang w:val="fr-FR"/>
        </w:rPr>
        <w:t xml:space="preserve"> </w:t>
      </w:r>
      <w:r w:rsidR="008C1E93" w:rsidRPr="00130C7A">
        <w:rPr>
          <w:lang w:val="fr-FR"/>
        </w:rPr>
        <w:t>l</w:t>
      </w:r>
      <w:r w:rsidR="00130C7A" w:rsidRPr="00130C7A">
        <w:rPr>
          <w:lang w:val="fr-FR"/>
        </w:rPr>
        <w:t>’</w:t>
      </w:r>
      <w:r w:rsidR="008C1E93" w:rsidRPr="00130C7A">
        <w:rPr>
          <w:lang w:val="fr-FR"/>
        </w:rPr>
        <w:t>accusation</w:t>
      </w:r>
      <w:r w:rsidR="00D40619" w:rsidRPr="00130C7A">
        <w:rPr>
          <w:lang w:val="fr-FR"/>
        </w:rPr>
        <w:t xml:space="preserve"> dans le procès</w:t>
      </w:r>
      <w:r w:rsidR="008C1E93" w:rsidRPr="00130C7A">
        <w:rPr>
          <w:lang w:val="fr-FR"/>
        </w:rPr>
        <w:t>.</w:t>
      </w:r>
      <w:r w:rsidR="006F4BB5" w:rsidRPr="00130C7A">
        <w:rPr>
          <w:lang w:val="fr-FR"/>
        </w:rPr>
        <w:t xml:space="preserve"> </w:t>
      </w:r>
      <w:r w:rsidR="00220859" w:rsidRPr="00130C7A">
        <w:rPr>
          <w:lang w:val="fr-FR"/>
        </w:rPr>
        <w:t>Ainsi, d</w:t>
      </w:r>
      <w:r w:rsidR="00130C7A" w:rsidRPr="00130C7A">
        <w:rPr>
          <w:lang w:val="fr-FR"/>
        </w:rPr>
        <w:t>’</w:t>
      </w:r>
      <w:r w:rsidR="00220859" w:rsidRPr="00130C7A">
        <w:rPr>
          <w:lang w:val="fr-FR"/>
        </w:rPr>
        <w:t>après le</w:t>
      </w:r>
      <w:r w:rsidR="00C85B82" w:rsidRPr="00130C7A">
        <w:rPr>
          <w:lang w:val="fr-FR"/>
        </w:rPr>
        <w:t xml:space="preserve"> Gouvernement</w:t>
      </w:r>
      <w:r w:rsidR="00220859" w:rsidRPr="00130C7A">
        <w:rPr>
          <w:lang w:val="fr-FR"/>
        </w:rPr>
        <w:t>,</w:t>
      </w:r>
      <w:r w:rsidR="00945A88" w:rsidRPr="00130C7A">
        <w:rPr>
          <w:lang w:val="fr-FR"/>
        </w:rPr>
        <w:t xml:space="preserve"> </w:t>
      </w:r>
      <w:r w:rsidR="00C85B82" w:rsidRPr="00130C7A">
        <w:rPr>
          <w:lang w:val="fr-FR"/>
        </w:rPr>
        <w:t>la procédure pénale n</w:t>
      </w:r>
      <w:r w:rsidR="00130C7A" w:rsidRPr="00130C7A">
        <w:rPr>
          <w:lang w:val="fr-FR"/>
        </w:rPr>
        <w:t>’</w:t>
      </w:r>
      <w:r w:rsidR="00C85B82" w:rsidRPr="00130C7A">
        <w:rPr>
          <w:lang w:val="fr-FR"/>
        </w:rPr>
        <w:t>a pas été poursuivie</w:t>
      </w:r>
      <w:r w:rsidR="00220859" w:rsidRPr="00130C7A">
        <w:rPr>
          <w:lang w:val="fr-FR"/>
        </w:rPr>
        <w:t>,</w:t>
      </w:r>
      <w:r w:rsidR="00C85B82" w:rsidRPr="00130C7A">
        <w:rPr>
          <w:lang w:val="fr-FR"/>
        </w:rPr>
        <w:t xml:space="preserve"> non pas à cause de la prescription des </w:t>
      </w:r>
      <w:r w:rsidR="00220859" w:rsidRPr="00130C7A">
        <w:rPr>
          <w:lang w:val="fr-FR"/>
        </w:rPr>
        <w:t xml:space="preserve">faits, </w:t>
      </w:r>
      <w:r w:rsidR="00C85B82" w:rsidRPr="00130C7A">
        <w:rPr>
          <w:lang w:val="fr-FR"/>
        </w:rPr>
        <w:t xml:space="preserve">mais </w:t>
      </w:r>
      <w:r w:rsidR="00220859" w:rsidRPr="00130C7A">
        <w:rPr>
          <w:lang w:val="fr-FR"/>
        </w:rPr>
        <w:t xml:space="preserve">en raison </w:t>
      </w:r>
      <w:r w:rsidR="00C85B82" w:rsidRPr="00130C7A">
        <w:rPr>
          <w:lang w:val="fr-FR"/>
        </w:rPr>
        <w:t>de l</w:t>
      </w:r>
      <w:r w:rsidR="00130C7A" w:rsidRPr="00130C7A">
        <w:rPr>
          <w:lang w:val="fr-FR"/>
        </w:rPr>
        <w:t>’</w:t>
      </w:r>
      <w:r w:rsidR="00C85B82" w:rsidRPr="00130C7A">
        <w:rPr>
          <w:lang w:val="fr-FR"/>
        </w:rPr>
        <w:t>absence de preuves</w:t>
      </w:r>
      <w:r w:rsidR="0087739B" w:rsidRPr="00130C7A">
        <w:rPr>
          <w:lang w:val="fr-FR"/>
        </w:rPr>
        <w:t>.</w:t>
      </w:r>
    </w:p>
    <w:p w:rsidR="008F2704" w:rsidRPr="00130C7A" w:rsidRDefault="007D1E06" w:rsidP="00130C7A">
      <w:pPr>
        <w:pStyle w:val="ECHRHeading3"/>
        <w:rPr>
          <w:lang w:val="fr-FR"/>
        </w:rPr>
      </w:pPr>
      <w:r w:rsidRPr="00130C7A">
        <w:rPr>
          <w:lang w:val="fr-FR"/>
        </w:rPr>
        <w:t>2.</w:t>
      </w:r>
      <w:r w:rsidR="00CD713A" w:rsidRPr="00130C7A">
        <w:rPr>
          <w:lang w:val="fr-FR"/>
        </w:rPr>
        <w:t>  </w:t>
      </w:r>
      <w:r w:rsidR="008F2704" w:rsidRPr="00130C7A">
        <w:rPr>
          <w:lang w:val="fr-FR"/>
        </w:rPr>
        <w:t>Appréciation de la Cour</w:t>
      </w:r>
    </w:p>
    <w:p w:rsidR="007D1E06" w:rsidRPr="00130C7A" w:rsidRDefault="007D1E06" w:rsidP="00130C7A">
      <w:pPr>
        <w:pStyle w:val="ECHRHeading4"/>
        <w:rPr>
          <w:lang w:val="fr-FR"/>
        </w:rPr>
      </w:pPr>
      <w:r w:rsidRPr="00130C7A">
        <w:rPr>
          <w:lang w:val="fr-FR"/>
        </w:rPr>
        <w:t>a)  Sur l</w:t>
      </w:r>
      <w:r w:rsidR="00130C7A" w:rsidRPr="00130C7A">
        <w:rPr>
          <w:lang w:val="fr-FR"/>
        </w:rPr>
        <w:t>’</w:t>
      </w:r>
      <w:r w:rsidRPr="00130C7A">
        <w:rPr>
          <w:lang w:val="fr-FR"/>
        </w:rPr>
        <w:t>obligation positive de protéger la vie</w:t>
      </w:r>
    </w:p>
    <w:p w:rsidR="008F2704" w:rsidRPr="00130C7A" w:rsidRDefault="007D1E06" w:rsidP="00130C7A">
      <w:pPr>
        <w:pStyle w:val="ECHRHeading5"/>
        <w:rPr>
          <w:lang w:val="fr-FR"/>
        </w:rPr>
      </w:pPr>
      <w:r w:rsidRPr="00130C7A">
        <w:rPr>
          <w:lang w:val="fr-FR"/>
        </w:rPr>
        <w:t>i</w:t>
      </w:r>
      <w:r w:rsidR="00C67E4E" w:rsidRPr="00130C7A">
        <w:rPr>
          <w:lang w:val="fr-FR"/>
        </w:rPr>
        <w:t>.  </w:t>
      </w:r>
      <w:r w:rsidR="008F2704" w:rsidRPr="00130C7A">
        <w:rPr>
          <w:lang w:val="fr-FR"/>
        </w:rPr>
        <w:t>Principes généraux</w:t>
      </w:r>
    </w:p>
    <w:p w:rsidR="00E05E46" w:rsidRPr="00130C7A" w:rsidRDefault="00E05E46" w:rsidP="00130C7A">
      <w:pPr>
        <w:pStyle w:val="ECHRPara"/>
        <w:rPr>
          <w:i/>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73</w:t>
      </w:r>
      <w:r w:rsidRPr="00130C7A">
        <w:rPr>
          <w:lang w:val="fr-FR"/>
        </w:rPr>
        <w:fldChar w:fldCharType="end"/>
      </w:r>
      <w:r w:rsidRPr="00130C7A">
        <w:rPr>
          <w:lang w:val="fr-FR"/>
        </w:rPr>
        <w:t>.  </w:t>
      </w:r>
      <w:r w:rsidR="008F2704" w:rsidRPr="00130C7A">
        <w:rPr>
          <w:lang w:val="fr-FR"/>
        </w:rPr>
        <w:t>La Cour rappelle que la première phrase de l</w:t>
      </w:r>
      <w:r w:rsidR="00130C7A" w:rsidRPr="00130C7A">
        <w:rPr>
          <w:lang w:val="fr-FR"/>
        </w:rPr>
        <w:t>’</w:t>
      </w:r>
      <w:r w:rsidR="008F2704" w:rsidRPr="00130C7A">
        <w:rPr>
          <w:lang w:val="fr-FR"/>
        </w:rPr>
        <w:t xml:space="preserve">article 2 </w:t>
      </w:r>
      <w:r w:rsidR="00713E47" w:rsidRPr="00130C7A">
        <w:rPr>
          <w:lang w:val="fr-FR"/>
        </w:rPr>
        <w:t xml:space="preserve">de la Convention </w:t>
      </w:r>
      <w:r w:rsidR="008F2704" w:rsidRPr="00130C7A">
        <w:rPr>
          <w:lang w:val="fr-FR"/>
        </w:rPr>
        <w:t>astreint l</w:t>
      </w:r>
      <w:r w:rsidR="00130C7A" w:rsidRPr="00130C7A">
        <w:rPr>
          <w:lang w:val="fr-FR"/>
        </w:rPr>
        <w:t>’</w:t>
      </w:r>
      <w:r w:rsidR="00713E47" w:rsidRPr="00130C7A">
        <w:rPr>
          <w:lang w:val="fr-FR"/>
        </w:rPr>
        <w:t>État</w:t>
      </w:r>
      <w:r w:rsidR="008F2704" w:rsidRPr="00130C7A">
        <w:rPr>
          <w:lang w:val="fr-FR"/>
        </w:rPr>
        <w:t xml:space="preserve"> non seulement à s</w:t>
      </w:r>
      <w:r w:rsidR="00130C7A" w:rsidRPr="00130C7A">
        <w:rPr>
          <w:lang w:val="fr-FR"/>
        </w:rPr>
        <w:t>’</w:t>
      </w:r>
      <w:r w:rsidR="008F2704" w:rsidRPr="00130C7A">
        <w:rPr>
          <w:lang w:val="fr-FR"/>
        </w:rPr>
        <w:t>abstenir de provoquer la mort de manière volontaire et irrégulière, mais aussi à prendre les mesures nécessaires à la protection de la vie des personnes relevant de sa juridiction. La Cour a donc pour tâche de déterminer si, dans les circonstances de l</w:t>
      </w:r>
      <w:r w:rsidR="00130C7A" w:rsidRPr="00130C7A">
        <w:rPr>
          <w:lang w:val="fr-FR"/>
        </w:rPr>
        <w:t>’</w:t>
      </w:r>
      <w:r w:rsidR="008F2704" w:rsidRPr="00130C7A">
        <w:rPr>
          <w:lang w:val="fr-FR"/>
        </w:rPr>
        <w:t>espèce, l</w:t>
      </w:r>
      <w:r w:rsidR="00130C7A" w:rsidRPr="00130C7A">
        <w:rPr>
          <w:lang w:val="fr-FR"/>
        </w:rPr>
        <w:t>’</w:t>
      </w:r>
      <w:r w:rsidR="00713E47" w:rsidRPr="00130C7A">
        <w:rPr>
          <w:lang w:val="fr-FR"/>
        </w:rPr>
        <w:t>État</w:t>
      </w:r>
      <w:r w:rsidR="008F2704" w:rsidRPr="00130C7A">
        <w:rPr>
          <w:lang w:val="fr-FR"/>
        </w:rPr>
        <w:t xml:space="preserve"> a pris toutes les mesures requises pour empêcher que la vie </w:t>
      </w:r>
      <w:r w:rsidR="00121334" w:rsidRPr="00130C7A">
        <w:rPr>
          <w:lang w:val="fr-FR"/>
        </w:rPr>
        <w:t>d</w:t>
      </w:r>
      <w:r w:rsidR="005945AB" w:rsidRPr="00130C7A">
        <w:rPr>
          <w:lang w:val="fr-FR"/>
        </w:rPr>
        <w:t xml:space="preserve">e </w:t>
      </w:r>
      <w:r w:rsidR="004D1F3B" w:rsidRPr="00130C7A">
        <w:rPr>
          <w:lang w:val="fr-FR"/>
        </w:rPr>
        <w:t>A.</w:t>
      </w:r>
      <w:r w:rsidR="008F2704" w:rsidRPr="00130C7A">
        <w:rPr>
          <w:lang w:val="fr-FR"/>
        </w:rPr>
        <w:t xml:space="preserve"> ne soit inutilement mise en danger (voir, par exemple, </w:t>
      </w:r>
      <w:r w:rsidR="008F2704" w:rsidRPr="00130C7A">
        <w:rPr>
          <w:i/>
          <w:lang w:val="fr-FR"/>
        </w:rPr>
        <w:t>L.C.B. c.</w:t>
      </w:r>
      <w:r w:rsidR="001F3BB4" w:rsidRPr="00130C7A">
        <w:rPr>
          <w:i/>
          <w:lang w:val="fr-FR"/>
        </w:rPr>
        <w:t> </w:t>
      </w:r>
      <w:r w:rsidR="008F2704" w:rsidRPr="00130C7A">
        <w:rPr>
          <w:i/>
          <w:lang w:val="fr-FR"/>
        </w:rPr>
        <w:t>Royaume-Uni</w:t>
      </w:r>
      <w:r w:rsidR="008F2704" w:rsidRPr="00130C7A">
        <w:rPr>
          <w:lang w:val="fr-FR"/>
        </w:rPr>
        <w:t xml:space="preserve">, </w:t>
      </w:r>
      <w:r w:rsidR="001F3BB4" w:rsidRPr="00130C7A">
        <w:rPr>
          <w:lang w:val="fr-FR"/>
        </w:rPr>
        <w:t xml:space="preserve">9 juin 1998, § 36, </w:t>
      </w:r>
      <w:r w:rsidR="001F3BB4" w:rsidRPr="00130C7A">
        <w:rPr>
          <w:i/>
          <w:lang w:val="fr-FR"/>
        </w:rPr>
        <w:t>Recueil des arrêts et décisions</w:t>
      </w:r>
      <w:r w:rsidR="001F3BB4" w:rsidRPr="00130C7A">
        <w:rPr>
          <w:lang w:val="fr-FR"/>
        </w:rPr>
        <w:t xml:space="preserve"> 1998</w:t>
      </w:r>
      <w:r w:rsidR="001F3BB4" w:rsidRPr="00130C7A">
        <w:rPr>
          <w:lang w:val="fr-FR"/>
        </w:rPr>
        <w:noBreakHyphen/>
        <w:t>III</w:t>
      </w:r>
      <w:r w:rsidR="008F2704" w:rsidRPr="00130C7A">
        <w:rPr>
          <w:lang w:val="fr-FR"/>
        </w:rPr>
        <w:t xml:space="preserve">, et </w:t>
      </w:r>
      <w:proofErr w:type="spellStart"/>
      <w:r w:rsidR="00A13169" w:rsidRPr="00130C7A">
        <w:rPr>
          <w:i/>
          <w:lang w:val="fr-FR"/>
        </w:rPr>
        <w:t>Renolde</w:t>
      </w:r>
      <w:proofErr w:type="spellEnd"/>
      <w:r w:rsidR="00A13169" w:rsidRPr="00130C7A">
        <w:rPr>
          <w:i/>
          <w:lang w:val="fr-FR"/>
        </w:rPr>
        <w:t xml:space="preserve"> c. France</w:t>
      </w:r>
      <w:r w:rsidR="00A13169" w:rsidRPr="00130C7A">
        <w:rPr>
          <w:lang w:val="fr-FR"/>
        </w:rPr>
        <w:t>, n</w:t>
      </w:r>
      <w:r w:rsidR="00A13169" w:rsidRPr="00130C7A">
        <w:rPr>
          <w:vertAlign w:val="superscript"/>
          <w:lang w:val="fr-FR"/>
        </w:rPr>
        <w:t>o</w:t>
      </w:r>
      <w:r w:rsidR="00A13169" w:rsidRPr="00130C7A">
        <w:rPr>
          <w:lang w:val="fr-FR"/>
        </w:rPr>
        <w:t xml:space="preserve"> 5608/05</w:t>
      </w:r>
      <w:r w:rsidR="00A13169" w:rsidRPr="00130C7A">
        <w:rPr>
          <w:snapToGrid w:val="0"/>
          <w:lang w:val="fr-FR"/>
        </w:rPr>
        <w:t>, § 80, CEDH 2008 (extraits)</w:t>
      </w:r>
      <w:r w:rsidR="008F2704" w:rsidRPr="00130C7A">
        <w:rPr>
          <w:lang w:val="fr-FR"/>
        </w:rPr>
        <w:t>).</w:t>
      </w:r>
    </w:p>
    <w:p w:rsidR="008F2704" w:rsidRPr="00130C7A" w:rsidRDefault="00E05E4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74</w:t>
      </w:r>
      <w:r w:rsidRPr="00130C7A">
        <w:rPr>
          <w:lang w:val="fr-FR"/>
        </w:rPr>
        <w:fldChar w:fldCharType="end"/>
      </w:r>
      <w:r w:rsidRPr="00130C7A">
        <w:rPr>
          <w:lang w:val="fr-FR"/>
        </w:rPr>
        <w:t>.  </w:t>
      </w:r>
      <w:r w:rsidR="008F2704" w:rsidRPr="00130C7A">
        <w:rPr>
          <w:lang w:val="fr-FR"/>
        </w:rPr>
        <w:t>La Cour rappelle également que l</w:t>
      </w:r>
      <w:r w:rsidR="00130C7A" w:rsidRPr="00130C7A">
        <w:rPr>
          <w:lang w:val="fr-FR"/>
        </w:rPr>
        <w:t>’</w:t>
      </w:r>
      <w:r w:rsidR="008F2704" w:rsidRPr="00130C7A">
        <w:rPr>
          <w:lang w:val="fr-FR"/>
        </w:rPr>
        <w:t>article 2</w:t>
      </w:r>
      <w:r w:rsidR="00021B59" w:rsidRPr="00130C7A">
        <w:rPr>
          <w:lang w:val="fr-FR"/>
        </w:rPr>
        <w:t xml:space="preserve"> de la Convention </w:t>
      </w:r>
      <w:r w:rsidR="008F2704" w:rsidRPr="00130C7A">
        <w:rPr>
          <w:lang w:val="fr-FR"/>
        </w:rPr>
        <w:t>peut, dans certaines circonstances bien définies, mettre à la charge des autorités l</w:t>
      </w:r>
      <w:r w:rsidR="00130C7A" w:rsidRPr="00130C7A">
        <w:rPr>
          <w:lang w:val="fr-FR"/>
        </w:rPr>
        <w:t>’</w:t>
      </w:r>
      <w:r w:rsidR="008F2704" w:rsidRPr="00130C7A">
        <w:rPr>
          <w:lang w:val="fr-FR"/>
        </w:rPr>
        <w:t>obligation positive de prendre préventivement des mesures d</w:t>
      </w:r>
      <w:r w:rsidR="00130C7A" w:rsidRPr="00130C7A">
        <w:rPr>
          <w:lang w:val="fr-FR"/>
        </w:rPr>
        <w:t>’</w:t>
      </w:r>
      <w:r w:rsidR="008F2704" w:rsidRPr="00130C7A">
        <w:rPr>
          <w:lang w:val="fr-FR"/>
        </w:rPr>
        <w:t>ordre pratique pour protéger l</w:t>
      </w:r>
      <w:r w:rsidR="00130C7A" w:rsidRPr="00130C7A">
        <w:rPr>
          <w:lang w:val="fr-FR"/>
        </w:rPr>
        <w:t>’</w:t>
      </w:r>
      <w:r w:rsidR="008F2704" w:rsidRPr="00130C7A">
        <w:rPr>
          <w:lang w:val="fr-FR"/>
        </w:rPr>
        <w:t>individu contre autrui ou, dans certaines circonstances particulières, contre lui-même (</w:t>
      </w:r>
      <w:r w:rsidR="008F2704" w:rsidRPr="00130C7A">
        <w:rPr>
          <w:i/>
          <w:lang w:val="fr-FR"/>
        </w:rPr>
        <w:t>Osman c.</w:t>
      </w:r>
      <w:r w:rsidR="00AD619D" w:rsidRPr="00130C7A">
        <w:rPr>
          <w:i/>
          <w:lang w:val="fr-FR"/>
        </w:rPr>
        <w:t> </w:t>
      </w:r>
      <w:r w:rsidR="008F2704" w:rsidRPr="00130C7A">
        <w:rPr>
          <w:i/>
          <w:lang w:val="fr-FR"/>
        </w:rPr>
        <w:t>Royaume-Uni</w:t>
      </w:r>
      <w:r w:rsidR="0036411B" w:rsidRPr="00130C7A">
        <w:rPr>
          <w:lang w:val="fr-FR"/>
        </w:rPr>
        <w:t>, 28</w:t>
      </w:r>
      <w:r w:rsidR="00021B59" w:rsidRPr="00130C7A">
        <w:rPr>
          <w:lang w:val="fr-FR"/>
        </w:rPr>
        <w:t> </w:t>
      </w:r>
      <w:r w:rsidR="0036411B" w:rsidRPr="00130C7A">
        <w:rPr>
          <w:lang w:val="fr-FR"/>
        </w:rPr>
        <w:t>octobre 1998, §</w:t>
      </w:r>
      <w:r w:rsidR="001F3BB4" w:rsidRPr="00130C7A">
        <w:rPr>
          <w:lang w:val="fr-FR"/>
        </w:rPr>
        <w:t> </w:t>
      </w:r>
      <w:r w:rsidR="008F2704" w:rsidRPr="00130C7A">
        <w:rPr>
          <w:lang w:val="fr-FR"/>
        </w:rPr>
        <w:t xml:space="preserve">115, </w:t>
      </w:r>
      <w:r w:rsidR="008F2704" w:rsidRPr="00130C7A">
        <w:rPr>
          <w:i/>
          <w:lang w:val="fr-FR"/>
        </w:rPr>
        <w:t>Recueil</w:t>
      </w:r>
      <w:r w:rsidR="008F2704" w:rsidRPr="00130C7A">
        <w:rPr>
          <w:lang w:val="fr-FR"/>
        </w:rPr>
        <w:t xml:space="preserve"> 1998-VIII, </w:t>
      </w:r>
      <w:proofErr w:type="spellStart"/>
      <w:r w:rsidR="00DB397D" w:rsidRPr="00130C7A">
        <w:rPr>
          <w:i/>
          <w:lang w:val="fr-FR"/>
        </w:rPr>
        <w:t>Mastromatteo</w:t>
      </w:r>
      <w:proofErr w:type="spellEnd"/>
      <w:r w:rsidR="00DB397D" w:rsidRPr="00130C7A">
        <w:rPr>
          <w:i/>
          <w:lang w:val="fr-FR"/>
        </w:rPr>
        <w:t xml:space="preserve"> c.</w:t>
      </w:r>
      <w:r w:rsidR="00AD619D" w:rsidRPr="00130C7A">
        <w:rPr>
          <w:i/>
          <w:lang w:val="fr-FR"/>
        </w:rPr>
        <w:t> </w:t>
      </w:r>
      <w:r w:rsidR="00DB397D" w:rsidRPr="00130C7A">
        <w:rPr>
          <w:i/>
          <w:lang w:val="fr-FR"/>
        </w:rPr>
        <w:t xml:space="preserve">Italie </w:t>
      </w:r>
      <w:r w:rsidR="00DB397D" w:rsidRPr="00130C7A">
        <w:rPr>
          <w:lang w:val="fr-FR"/>
        </w:rPr>
        <w:t>[GC],</w:t>
      </w:r>
      <w:r w:rsidR="00DB397D" w:rsidRPr="00130C7A">
        <w:rPr>
          <w:i/>
          <w:lang w:val="fr-FR"/>
        </w:rPr>
        <w:t xml:space="preserve"> </w:t>
      </w:r>
      <w:r w:rsidR="00DB397D" w:rsidRPr="00130C7A">
        <w:rPr>
          <w:lang w:val="fr-FR"/>
        </w:rPr>
        <w:t>n</w:t>
      </w:r>
      <w:r w:rsidR="00775C5B" w:rsidRPr="00130C7A">
        <w:rPr>
          <w:vertAlign w:val="superscript"/>
          <w:lang w:val="fr-FR"/>
        </w:rPr>
        <w:t>o</w:t>
      </w:r>
      <w:r w:rsidR="00051A85" w:rsidRPr="00130C7A">
        <w:rPr>
          <w:i/>
          <w:lang w:val="fr-FR"/>
        </w:rPr>
        <w:t> </w:t>
      </w:r>
      <w:r w:rsidR="00DB397D" w:rsidRPr="00130C7A">
        <w:rPr>
          <w:lang w:val="fr-FR"/>
        </w:rPr>
        <w:t>37703/97, § 68, CEDH 2002-VIII</w:t>
      </w:r>
      <w:r w:rsidR="008F2704" w:rsidRPr="00130C7A">
        <w:rPr>
          <w:lang w:val="fr-FR"/>
        </w:rPr>
        <w:t xml:space="preserve">, et </w:t>
      </w:r>
      <w:proofErr w:type="spellStart"/>
      <w:r w:rsidR="008F2704" w:rsidRPr="00130C7A">
        <w:rPr>
          <w:i/>
          <w:lang w:val="fr-FR"/>
        </w:rPr>
        <w:t>Keenan</w:t>
      </w:r>
      <w:proofErr w:type="spellEnd"/>
      <w:r w:rsidR="008F2704" w:rsidRPr="00130C7A">
        <w:rPr>
          <w:i/>
          <w:lang w:val="fr-FR"/>
        </w:rPr>
        <w:t xml:space="preserve"> c.</w:t>
      </w:r>
      <w:r w:rsidR="00AD619D" w:rsidRPr="00130C7A">
        <w:rPr>
          <w:i/>
          <w:lang w:val="fr-FR"/>
        </w:rPr>
        <w:t> </w:t>
      </w:r>
      <w:r w:rsidR="008F2704" w:rsidRPr="00130C7A">
        <w:rPr>
          <w:i/>
          <w:lang w:val="fr-FR"/>
        </w:rPr>
        <w:t>Royaume-Uni</w:t>
      </w:r>
      <w:r w:rsidR="008F2704" w:rsidRPr="00130C7A">
        <w:rPr>
          <w:lang w:val="fr-FR"/>
        </w:rPr>
        <w:t>, n</w:t>
      </w:r>
      <w:r w:rsidR="001E18AA" w:rsidRPr="00130C7A">
        <w:rPr>
          <w:vertAlign w:val="superscript"/>
          <w:lang w:val="fr-FR"/>
        </w:rPr>
        <w:t>o</w:t>
      </w:r>
      <w:r w:rsidR="00021B59" w:rsidRPr="00130C7A">
        <w:rPr>
          <w:lang w:val="fr-FR"/>
        </w:rPr>
        <w:t> </w:t>
      </w:r>
      <w:r w:rsidR="008F2704" w:rsidRPr="00130C7A">
        <w:rPr>
          <w:lang w:val="fr-FR"/>
        </w:rPr>
        <w:t>27229/95, § 89, CEDH 2001-III).</w:t>
      </w:r>
    </w:p>
    <w:p w:rsidR="001E18AA" w:rsidRPr="00130C7A" w:rsidRDefault="00E05E4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75</w:t>
      </w:r>
      <w:r w:rsidRPr="00130C7A">
        <w:rPr>
          <w:lang w:val="fr-FR"/>
        </w:rPr>
        <w:fldChar w:fldCharType="end"/>
      </w:r>
      <w:r w:rsidRPr="00130C7A">
        <w:rPr>
          <w:lang w:val="fr-FR"/>
        </w:rPr>
        <w:t>.  </w:t>
      </w:r>
      <w:r w:rsidR="008F2704" w:rsidRPr="00130C7A">
        <w:rPr>
          <w:lang w:val="fr-FR"/>
        </w:rPr>
        <w:t>Cependant, il faut interpréter cette obligation de mani</w:t>
      </w:r>
      <w:r w:rsidR="00DB397D" w:rsidRPr="00130C7A">
        <w:rPr>
          <w:lang w:val="fr-FR"/>
        </w:rPr>
        <w:t>ère à ne pas imposer aux autorit</w:t>
      </w:r>
      <w:r w:rsidR="008F2704" w:rsidRPr="00130C7A">
        <w:rPr>
          <w:lang w:val="fr-FR"/>
        </w:rPr>
        <w:t>és un fardeau insupportable ou excessif, sans perdre de vue les difficultés qu</w:t>
      </w:r>
      <w:r w:rsidR="00130C7A" w:rsidRPr="00130C7A">
        <w:rPr>
          <w:lang w:val="fr-FR"/>
        </w:rPr>
        <w:t>’</w:t>
      </w:r>
      <w:r w:rsidR="008F2704" w:rsidRPr="00130C7A">
        <w:rPr>
          <w:lang w:val="fr-FR"/>
        </w:rPr>
        <w:t>ont les forces de l</w:t>
      </w:r>
      <w:r w:rsidR="00130C7A" w:rsidRPr="00130C7A">
        <w:rPr>
          <w:lang w:val="fr-FR"/>
        </w:rPr>
        <w:t>’</w:t>
      </w:r>
      <w:r w:rsidR="008F2704" w:rsidRPr="00130C7A">
        <w:rPr>
          <w:lang w:val="fr-FR"/>
        </w:rPr>
        <w:t>ordre à exercer leurs fonctions dans les sociétés contemporaines, l</w:t>
      </w:r>
      <w:r w:rsidR="00130C7A" w:rsidRPr="00130C7A">
        <w:rPr>
          <w:lang w:val="fr-FR"/>
        </w:rPr>
        <w:t>’</w:t>
      </w:r>
      <w:r w:rsidR="008F2704" w:rsidRPr="00130C7A">
        <w:rPr>
          <w:lang w:val="fr-FR"/>
        </w:rPr>
        <w:t>imprévisibilité du comportement humain et les choix opérationnels à faire en matière de priorités et de ressources. Dès lors, toute menace présumée contre la vie n</w:t>
      </w:r>
      <w:r w:rsidR="00130C7A" w:rsidRPr="00130C7A">
        <w:rPr>
          <w:lang w:val="fr-FR"/>
        </w:rPr>
        <w:t>’</w:t>
      </w:r>
      <w:r w:rsidR="008F2704" w:rsidRPr="00130C7A">
        <w:rPr>
          <w:lang w:val="fr-FR"/>
        </w:rPr>
        <w:t>oblige pas les autorités, au regard de la Convention, à prendre des mesures concrètes pour en prévenir la réalisation (</w:t>
      </w:r>
      <w:proofErr w:type="spellStart"/>
      <w:r w:rsidR="008F2704" w:rsidRPr="00130C7A">
        <w:rPr>
          <w:i/>
          <w:lang w:val="fr-FR"/>
        </w:rPr>
        <w:t>Tanribilir</w:t>
      </w:r>
      <w:proofErr w:type="spellEnd"/>
      <w:r w:rsidR="00776BEC" w:rsidRPr="00130C7A">
        <w:rPr>
          <w:lang w:val="fr-FR"/>
        </w:rPr>
        <w:t>,</w:t>
      </w:r>
      <w:r w:rsidR="008F2704" w:rsidRPr="00130C7A">
        <w:rPr>
          <w:lang w:val="fr-FR"/>
        </w:rPr>
        <w:t xml:space="preserve"> précité, §§ 70-71, </w:t>
      </w:r>
      <w:proofErr w:type="spellStart"/>
      <w:r w:rsidR="008F2704" w:rsidRPr="00130C7A">
        <w:rPr>
          <w:i/>
          <w:lang w:val="fr-FR"/>
        </w:rPr>
        <w:t>Keenan</w:t>
      </w:r>
      <w:proofErr w:type="spellEnd"/>
      <w:r w:rsidR="00776BEC" w:rsidRPr="00130C7A">
        <w:rPr>
          <w:i/>
          <w:lang w:val="fr-FR"/>
        </w:rPr>
        <w:t>,</w:t>
      </w:r>
      <w:r w:rsidR="008F2704" w:rsidRPr="00130C7A">
        <w:rPr>
          <w:lang w:val="fr-FR"/>
        </w:rPr>
        <w:t xml:space="preserve"> précité, § 90, et </w:t>
      </w:r>
      <w:proofErr w:type="spellStart"/>
      <w:r w:rsidR="001D4CF8" w:rsidRPr="00130C7A">
        <w:rPr>
          <w:i/>
          <w:lang w:val="fr-FR"/>
        </w:rPr>
        <w:t>Taïs</w:t>
      </w:r>
      <w:proofErr w:type="spellEnd"/>
      <w:r w:rsidR="00AD619D" w:rsidRPr="00130C7A">
        <w:rPr>
          <w:i/>
          <w:lang w:val="fr-FR"/>
        </w:rPr>
        <w:t xml:space="preserve"> </w:t>
      </w:r>
      <w:r w:rsidR="001D4CF8" w:rsidRPr="00130C7A">
        <w:rPr>
          <w:i/>
          <w:lang w:val="fr-FR"/>
        </w:rPr>
        <w:t>c.</w:t>
      </w:r>
      <w:r w:rsidR="007741ED" w:rsidRPr="00130C7A">
        <w:rPr>
          <w:i/>
          <w:lang w:val="fr-FR"/>
        </w:rPr>
        <w:t> </w:t>
      </w:r>
      <w:r w:rsidR="008F2704" w:rsidRPr="00130C7A">
        <w:rPr>
          <w:i/>
          <w:lang w:val="fr-FR"/>
        </w:rPr>
        <w:t>France</w:t>
      </w:r>
      <w:r w:rsidR="008F2704" w:rsidRPr="00130C7A">
        <w:rPr>
          <w:lang w:val="fr-FR"/>
        </w:rPr>
        <w:t>, n</w:t>
      </w:r>
      <w:r w:rsidR="001E18AA" w:rsidRPr="00130C7A">
        <w:rPr>
          <w:vertAlign w:val="superscript"/>
          <w:lang w:val="fr-FR"/>
        </w:rPr>
        <w:t>o</w:t>
      </w:r>
      <w:r w:rsidR="008F2704" w:rsidRPr="00130C7A">
        <w:rPr>
          <w:lang w:val="fr-FR"/>
        </w:rPr>
        <w:t xml:space="preserve"> 39922/03, § 97, 1</w:t>
      </w:r>
      <w:r w:rsidR="008F2704" w:rsidRPr="00130C7A">
        <w:rPr>
          <w:vertAlign w:val="superscript"/>
          <w:lang w:val="fr-FR"/>
        </w:rPr>
        <w:t>er</w:t>
      </w:r>
      <w:r w:rsidR="008F2704" w:rsidRPr="00130C7A">
        <w:rPr>
          <w:lang w:val="fr-FR"/>
        </w:rPr>
        <w:t xml:space="preserve"> juin 2006).</w:t>
      </w:r>
    </w:p>
    <w:p w:rsidR="00DB397D" w:rsidRPr="00130C7A" w:rsidRDefault="00051A85" w:rsidP="00130C7A">
      <w:pPr>
        <w:pStyle w:val="ECHRPara"/>
        <w:rPr>
          <w:lang w:val="fr-FR"/>
        </w:rPr>
      </w:pPr>
      <w:r w:rsidRPr="00130C7A">
        <w:rPr>
          <w:lang w:val="fr-FR"/>
        </w:rPr>
        <w:lastRenderedPageBreak/>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76</w:t>
      </w:r>
      <w:r w:rsidRPr="00130C7A">
        <w:rPr>
          <w:lang w:val="fr-FR"/>
        </w:rPr>
        <w:fldChar w:fldCharType="end"/>
      </w:r>
      <w:r w:rsidRPr="00130C7A">
        <w:rPr>
          <w:lang w:val="fr-FR"/>
        </w:rPr>
        <w:t>.  </w:t>
      </w:r>
      <w:r w:rsidR="00DB397D" w:rsidRPr="00130C7A">
        <w:rPr>
          <w:lang w:val="fr-FR"/>
        </w:rPr>
        <w:t>Cela étant, dans plusieurs affaires où le risque provenait non pas d</w:t>
      </w:r>
      <w:r w:rsidR="00130C7A" w:rsidRPr="00130C7A">
        <w:rPr>
          <w:lang w:val="fr-FR"/>
        </w:rPr>
        <w:t>’</w:t>
      </w:r>
      <w:r w:rsidR="00DB397D" w:rsidRPr="00130C7A">
        <w:rPr>
          <w:lang w:val="fr-FR"/>
        </w:rPr>
        <w:t>actes criminels accomplis par des tiers mais d</w:t>
      </w:r>
      <w:r w:rsidR="00130C7A" w:rsidRPr="00130C7A">
        <w:rPr>
          <w:lang w:val="fr-FR"/>
        </w:rPr>
        <w:t>’</w:t>
      </w:r>
      <w:r w:rsidR="00DB397D" w:rsidRPr="00130C7A">
        <w:rPr>
          <w:lang w:val="fr-FR"/>
        </w:rPr>
        <w:t>actes d</w:t>
      </w:r>
      <w:r w:rsidR="00130C7A" w:rsidRPr="00130C7A">
        <w:rPr>
          <w:lang w:val="fr-FR"/>
        </w:rPr>
        <w:t>’</w:t>
      </w:r>
      <w:r w:rsidR="00DB397D" w:rsidRPr="00130C7A">
        <w:rPr>
          <w:lang w:val="fr-FR"/>
        </w:rPr>
        <w:t>auto-agression commis par un détenu, la Cour a conclu qu</w:t>
      </w:r>
      <w:r w:rsidR="00130C7A" w:rsidRPr="00130C7A">
        <w:rPr>
          <w:lang w:val="fr-FR"/>
        </w:rPr>
        <w:t>’</w:t>
      </w:r>
      <w:r w:rsidR="00DB397D" w:rsidRPr="00130C7A">
        <w:rPr>
          <w:lang w:val="fr-FR"/>
        </w:rPr>
        <w:t>une obligation positive pesait sur les autorités dès lors qu</w:t>
      </w:r>
      <w:r w:rsidR="00130C7A" w:rsidRPr="00130C7A">
        <w:rPr>
          <w:lang w:val="fr-FR"/>
        </w:rPr>
        <w:t>’</w:t>
      </w:r>
      <w:r w:rsidR="00DB397D" w:rsidRPr="00130C7A">
        <w:rPr>
          <w:lang w:val="fr-FR"/>
        </w:rPr>
        <w:t>elles savaient ou auraient dû savoir qu</w:t>
      </w:r>
      <w:r w:rsidR="00130C7A" w:rsidRPr="00130C7A">
        <w:rPr>
          <w:lang w:val="fr-FR"/>
        </w:rPr>
        <w:t>’</w:t>
      </w:r>
      <w:r w:rsidR="00DB397D" w:rsidRPr="00130C7A">
        <w:rPr>
          <w:lang w:val="fr-FR"/>
        </w:rPr>
        <w:t>il y avait un risque réel et immédiat de voir la personne attenter à ses jours. Dans les affaires où elle a établi que les autorités avaient ou auraient dû avoir connaissance de ce risque, elle a ensuite examiné si celles-ci avaient fait tout ce qu</w:t>
      </w:r>
      <w:r w:rsidR="00130C7A" w:rsidRPr="00130C7A">
        <w:rPr>
          <w:lang w:val="fr-FR"/>
        </w:rPr>
        <w:t>’</w:t>
      </w:r>
      <w:r w:rsidR="00DB397D" w:rsidRPr="00130C7A">
        <w:rPr>
          <w:lang w:val="fr-FR"/>
        </w:rPr>
        <w:t>on pouvait raisonnablement attendre d</w:t>
      </w:r>
      <w:r w:rsidR="00130C7A" w:rsidRPr="00130C7A">
        <w:rPr>
          <w:lang w:val="fr-FR"/>
        </w:rPr>
        <w:t>’</w:t>
      </w:r>
      <w:r w:rsidR="00DB397D" w:rsidRPr="00130C7A">
        <w:rPr>
          <w:lang w:val="fr-FR"/>
        </w:rPr>
        <w:t>elles pour le prévenir (</w:t>
      </w:r>
      <w:proofErr w:type="spellStart"/>
      <w:r w:rsidR="00DB397D" w:rsidRPr="00130C7A">
        <w:rPr>
          <w:i/>
          <w:lang w:val="fr-FR"/>
        </w:rPr>
        <w:t>Keenan</w:t>
      </w:r>
      <w:proofErr w:type="spellEnd"/>
      <w:r w:rsidR="00DB397D" w:rsidRPr="00130C7A">
        <w:rPr>
          <w:lang w:val="fr-FR"/>
        </w:rPr>
        <w:t>, précité, § 93, CEDH 2001</w:t>
      </w:r>
      <w:r w:rsidR="00DB397D" w:rsidRPr="00130C7A">
        <w:rPr>
          <w:rFonts w:ascii="MS Mincho" w:eastAsia="MS Mincho" w:hAnsi="MS Mincho" w:cs="MS Mincho" w:hint="eastAsia"/>
          <w:lang w:val="fr-FR"/>
        </w:rPr>
        <w:t>‑</w:t>
      </w:r>
      <w:r w:rsidR="00DB397D" w:rsidRPr="00130C7A">
        <w:rPr>
          <w:lang w:val="fr-FR"/>
        </w:rPr>
        <w:t xml:space="preserve">III et </w:t>
      </w:r>
      <w:r w:rsidR="00DB397D" w:rsidRPr="00130C7A">
        <w:rPr>
          <w:i/>
          <w:iCs/>
          <w:lang w:val="fr-FR"/>
        </w:rPr>
        <w:t>Fernandes de Oliveira c.</w:t>
      </w:r>
      <w:r w:rsidR="00AD619D" w:rsidRPr="00130C7A">
        <w:rPr>
          <w:i/>
          <w:iCs/>
          <w:lang w:val="fr-FR"/>
        </w:rPr>
        <w:t> </w:t>
      </w:r>
      <w:r w:rsidR="00DB397D" w:rsidRPr="00130C7A">
        <w:rPr>
          <w:i/>
          <w:iCs/>
          <w:lang w:val="fr-FR"/>
        </w:rPr>
        <w:t>Portugal</w:t>
      </w:r>
      <w:r w:rsidR="00DB397D" w:rsidRPr="00130C7A">
        <w:rPr>
          <w:lang w:val="fr-FR"/>
        </w:rPr>
        <w:t xml:space="preserve"> [GC]</w:t>
      </w:r>
      <w:r w:rsidR="00DB397D" w:rsidRPr="00130C7A">
        <w:rPr>
          <w:szCs w:val="24"/>
          <w:lang w:val="fr-FR"/>
        </w:rPr>
        <w:t xml:space="preserve">, </w:t>
      </w:r>
      <w:r w:rsidR="00DB397D" w:rsidRPr="00130C7A">
        <w:rPr>
          <w:lang w:val="fr-FR"/>
        </w:rPr>
        <w:t>n</w:t>
      </w:r>
      <w:r w:rsidR="00DB397D" w:rsidRPr="00130C7A">
        <w:rPr>
          <w:vertAlign w:val="superscript"/>
          <w:lang w:val="fr-FR"/>
        </w:rPr>
        <w:t>o</w:t>
      </w:r>
      <w:r w:rsidR="00DB397D" w:rsidRPr="00130C7A">
        <w:rPr>
          <w:lang w:val="fr-FR"/>
        </w:rPr>
        <w:t> 78103/14, § 110, 31 janvier 2019). Ainsi, la Cour d</w:t>
      </w:r>
      <w:r w:rsidR="00DB397D" w:rsidRPr="00130C7A">
        <w:rPr>
          <w:rFonts w:ascii="Times New Roman" w:hAnsi="Times New Roman" w:cs="Times New Roman"/>
          <w:lang w:val="fr-FR"/>
        </w:rPr>
        <w:t>é</w:t>
      </w:r>
      <w:r w:rsidR="00DB397D" w:rsidRPr="00130C7A">
        <w:rPr>
          <w:lang w:val="fr-FR"/>
        </w:rPr>
        <w:t>termine, en prenant en compte l</w:t>
      </w:r>
      <w:r w:rsidR="00130C7A" w:rsidRPr="00130C7A">
        <w:rPr>
          <w:lang w:val="fr-FR"/>
        </w:rPr>
        <w:t>’</w:t>
      </w:r>
      <w:r w:rsidR="00DB397D" w:rsidRPr="00130C7A">
        <w:rPr>
          <w:lang w:val="fr-FR"/>
        </w:rPr>
        <w:t>ensemble des circonstances d</w:t>
      </w:r>
      <w:r w:rsidR="00130C7A" w:rsidRPr="00130C7A">
        <w:rPr>
          <w:lang w:val="fr-FR"/>
        </w:rPr>
        <w:t>’</w:t>
      </w:r>
      <w:r w:rsidR="00DB397D" w:rsidRPr="00130C7A">
        <w:rPr>
          <w:lang w:val="fr-FR"/>
        </w:rPr>
        <w:t>une affaire donnée, si le risque en question était à la fois réel et immédiat.</w:t>
      </w:r>
    </w:p>
    <w:p w:rsidR="001446CB" w:rsidRPr="00130C7A" w:rsidRDefault="00E05E4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77</w:t>
      </w:r>
      <w:r w:rsidRPr="00130C7A">
        <w:rPr>
          <w:lang w:val="fr-FR"/>
        </w:rPr>
        <w:fldChar w:fldCharType="end"/>
      </w:r>
      <w:r w:rsidRPr="00130C7A">
        <w:rPr>
          <w:lang w:val="fr-FR"/>
        </w:rPr>
        <w:t>.  </w:t>
      </w:r>
      <w:r w:rsidR="0020111A" w:rsidRPr="00130C7A">
        <w:rPr>
          <w:lang w:val="fr-FR"/>
        </w:rPr>
        <w:t>En outre, l</w:t>
      </w:r>
      <w:r w:rsidR="008F2704" w:rsidRPr="00130C7A">
        <w:rPr>
          <w:lang w:val="fr-FR"/>
        </w:rPr>
        <w:t xml:space="preserve">a Cour </w:t>
      </w:r>
      <w:r w:rsidR="006F2E4B" w:rsidRPr="00130C7A">
        <w:rPr>
          <w:lang w:val="fr-FR"/>
        </w:rPr>
        <w:t>rappelle</w:t>
      </w:r>
      <w:r w:rsidR="008F2704" w:rsidRPr="00130C7A">
        <w:rPr>
          <w:lang w:val="fr-FR"/>
        </w:rPr>
        <w:t xml:space="preserve"> que les détenus sont en situation de vulnérabilité et que les autorités ont le devoir de les protéger (</w:t>
      </w:r>
      <w:proofErr w:type="spellStart"/>
      <w:r w:rsidR="008F2704" w:rsidRPr="00130C7A">
        <w:rPr>
          <w:i/>
          <w:lang w:val="fr-FR"/>
        </w:rPr>
        <w:t>Keenan</w:t>
      </w:r>
      <w:proofErr w:type="spellEnd"/>
      <w:r w:rsidR="008F2704" w:rsidRPr="00130C7A">
        <w:rPr>
          <w:lang w:val="fr-FR"/>
        </w:rPr>
        <w:t xml:space="preserve">, précité, § 91, </w:t>
      </w:r>
      <w:proofErr w:type="spellStart"/>
      <w:r w:rsidR="008F2704" w:rsidRPr="00130C7A">
        <w:rPr>
          <w:i/>
          <w:lang w:val="fr-FR"/>
        </w:rPr>
        <w:t>Younger</w:t>
      </w:r>
      <w:proofErr w:type="spellEnd"/>
      <w:r w:rsidR="008F2704" w:rsidRPr="00130C7A">
        <w:rPr>
          <w:i/>
          <w:lang w:val="fr-FR"/>
        </w:rPr>
        <w:t xml:space="preserve"> c. Royaume-Uni</w:t>
      </w:r>
      <w:r w:rsidR="008F2704" w:rsidRPr="00130C7A">
        <w:rPr>
          <w:lang w:val="fr-FR"/>
        </w:rPr>
        <w:t xml:space="preserve"> (déc.), n</w:t>
      </w:r>
      <w:r w:rsidR="001E0028" w:rsidRPr="00130C7A">
        <w:rPr>
          <w:vertAlign w:val="superscript"/>
          <w:lang w:val="fr-FR"/>
        </w:rPr>
        <w:t>o</w:t>
      </w:r>
      <w:r w:rsidR="008F2704" w:rsidRPr="00130C7A">
        <w:rPr>
          <w:lang w:val="fr-FR"/>
        </w:rPr>
        <w:t xml:space="preserve"> 57420/00, CEDH 2003-I, </w:t>
      </w:r>
      <w:proofErr w:type="spellStart"/>
      <w:r w:rsidR="008F2704" w:rsidRPr="00130C7A">
        <w:rPr>
          <w:i/>
          <w:lang w:val="fr-FR"/>
        </w:rPr>
        <w:t>Troubnikov</w:t>
      </w:r>
      <w:proofErr w:type="spellEnd"/>
      <w:r w:rsidR="008F2704" w:rsidRPr="00130C7A">
        <w:rPr>
          <w:i/>
          <w:lang w:val="fr-FR"/>
        </w:rPr>
        <w:t xml:space="preserve"> c. Russie</w:t>
      </w:r>
      <w:r w:rsidR="008F2704" w:rsidRPr="00130C7A">
        <w:rPr>
          <w:lang w:val="fr-FR"/>
        </w:rPr>
        <w:t>, n</w:t>
      </w:r>
      <w:r w:rsidR="001E0028" w:rsidRPr="00130C7A">
        <w:rPr>
          <w:vertAlign w:val="superscript"/>
          <w:lang w:val="fr-FR"/>
        </w:rPr>
        <w:t>o</w:t>
      </w:r>
      <w:r w:rsidR="008F2704" w:rsidRPr="00130C7A">
        <w:rPr>
          <w:lang w:val="fr-FR"/>
        </w:rPr>
        <w:t xml:space="preserve"> 49790/99, § 68, 5 juillet 2005, et </w:t>
      </w:r>
      <w:proofErr w:type="spellStart"/>
      <w:r w:rsidR="008F2704" w:rsidRPr="00130C7A">
        <w:rPr>
          <w:i/>
          <w:lang w:val="fr-FR"/>
        </w:rPr>
        <w:t>Renolde</w:t>
      </w:r>
      <w:proofErr w:type="spellEnd"/>
      <w:r w:rsidR="008F2704" w:rsidRPr="00130C7A">
        <w:rPr>
          <w:lang w:val="fr-FR"/>
        </w:rPr>
        <w:t>, précité, § 83). De même, les autorités pénitentiaires doivent s</w:t>
      </w:r>
      <w:r w:rsidR="00130C7A" w:rsidRPr="00130C7A">
        <w:rPr>
          <w:lang w:val="fr-FR"/>
        </w:rPr>
        <w:t>’</w:t>
      </w:r>
      <w:r w:rsidR="008F2704" w:rsidRPr="00130C7A">
        <w:rPr>
          <w:lang w:val="fr-FR"/>
        </w:rPr>
        <w:t>acquitter de leurs tâches de manière compatible avec les droits et libertés de l</w:t>
      </w:r>
      <w:r w:rsidR="00130C7A" w:rsidRPr="00130C7A">
        <w:rPr>
          <w:lang w:val="fr-FR"/>
        </w:rPr>
        <w:t>’</w:t>
      </w:r>
      <w:r w:rsidR="008F2704" w:rsidRPr="00130C7A">
        <w:rPr>
          <w:lang w:val="fr-FR"/>
        </w:rPr>
        <w:t>individu concerné. Des mesures et précautions générales peuvent être prises afin de diminuer les risques d</w:t>
      </w:r>
      <w:r w:rsidR="00130C7A" w:rsidRPr="00130C7A">
        <w:rPr>
          <w:lang w:val="fr-FR"/>
        </w:rPr>
        <w:t>’</w:t>
      </w:r>
      <w:r w:rsidR="008F2704" w:rsidRPr="00130C7A">
        <w:rPr>
          <w:lang w:val="fr-FR"/>
        </w:rPr>
        <w:t>automutilation sans empiéter sur l</w:t>
      </w:r>
      <w:r w:rsidR="00130C7A" w:rsidRPr="00130C7A">
        <w:rPr>
          <w:lang w:val="fr-FR"/>
        </w:rPr>
        <w:t>’</w:t>
      </w:r>
      <w:r w:rsidR="007D665F" w:rsidRPr="00130C7A">
        <w:rPr>
          <w:lang w:val="fr-FR"/>
        </w:rPr>
        <w:t xml:space="preserve">autonomie individuelle (voir, </w:t>
      </w:r>
      <w:r w:rsidR="007D665F" w:rsidRPr="00130C7A">
        <w:rPr>
          <w:i/>
          <w:lang w:val="fr-FR"/>
        </w:rPr>
        <w:t xml:space="preserve">mutatis mutandis, </w:t>
      </w:r>
      <w:proofErr w:type="spellStart"/>
      <w:r w:rsidR="007D665F" w:rsidRPr="00130C7A">
        <w:rPr>
          <w:i/>
          <w:lang w:val="fr-FR"/>
        </w:rPr>
        <w:t>Mitić</w:t>
      </w:r>
      <w:proofErr w:type="spellEnd"/>
      <w:r w:rsidR="007D665F" w:rsidRPr="00130C7A">
        <w:rPr>
          <w:i/>
          <w:lang w:val="fr-FR"/>
        </w:rPr>
        <w:t xml:space="preserve"> c. Serbie</w:t>
      </w:r>
      <w:r w:rsidR="00CB7FA9" w:rsidRPr="00130C7A">
        <w:rPr>
          <w:lang w:val="fr-FR"/>
        </w:rPr>
        <w:t>, n</w:t>
      </w:r>
      <w:r w:rsidR="001E0028" w:rsidRPr="00130C7A">
        <w:rPr>
          <w:vertAlign w:val="superscript"/>
          <w:lang w:val="fr-FR"/>
        </w:rPr>
        <w:t>o</w:t>
      </w:r>
      <w:r w:rsidR="007D665F" w:rsidRPr="00130C7A">
        <w:rPr>
          <w:lang w:val="fr-FR"/>
        </w:rPr>
        <w:t xml:space="preserve"> 31963/08, §</w:t>
      </w:r>
      <w:r w:rsidR="00AD619D" w:rsidRPr="00130C7A">
        <w:rPr>
          <w:lang w:val="fr-FR"/>
        </w:rPr>
        <w:t> </w:t>
      </w:r>
      <w:r w:rsidR="007D665F" w:rsidRPr="00130C7A">
        <w:rPr>
          <w:lang w:val="fr-FR"/>
        </w:rPr>
        <w:t>47, 22</w:t>
      </w:r>
      <w:r w:rsidR="00D94872" w:rsidRPr="00130C7A">
        <w:rPr>
          <w:lang w:val="fr-FR"/>
        </w:rPr>
        <w:t> </w:t>
      </w:r>
      <w:r w:rsidR="007D665F" w:rsidRPr="00130C7A">
        <w:rPr>
          <w:lang w:val="fr-FR"/>
        </w:rPr>
        <w:t>janvier 2013). La Cour a reconnu que des mesures excessivement restrictives pouvaient soulever des problèmes au regard des articles 3, 5 et 8 de la Convention (</w:t>
      </w:r>
      <w:r w:rsidR="007D665F" w:rsidRPr="00130C7A">
        <w:rPr>
          <w:i/>
          <w:lang w:val="fr-FR"/>
        </w:rPr>
        <w:t>Hiller</w:t>
      </w:r>
      <w:r w:rsidR="00D94872" w:rsidRPr="00235B7E">
        <w:rPr>
          <w:i/>
          <w:lang w:val="en-US"/>
        </w:rPr>
        <w:t xml:space="preserve"> c. </w:t>
      </w:r>
      <w:proofErr w:type="spellStart"/>
      <w:r w:rsidR="00D94872" w:rsidRPr="00235B7E">
        <w:rPr>
          <w:i/>
          <w:lang w:val="en-US"/>
        </w:rPr>
        <w:t>Autriche</w:t>
      </w:r>
      <w:proofErr w:type="spellEnd"/>
      <w:r w:rsidR="00D94872" w:rsidRPr="00235B7E">
        <w:rPr>
          <w:lang w:val="en-US"/>
        </w:rPr>
        <w:t>, n</w:t>
      </w:r>
      <w:r w:rsidR="00D94872" w:rsidRPr="00235B7E">
        <w:rPr>
          <w:vertAlign w:val="superscript"/>
          <w:lang w:val="en-US"/>
        </w:rPr>
        <w:t>o</w:t>
      </w:r>
      <w:r w:rsidR="00D94872" w:rsidRPr="00235B7E">
        <w:rPr>
          <w:lang w:val="en-US"/>
        </w:rPr>
        <w:t xml:space="preserve"> 1967/14, § 55, 22</w:t>
      </w:r>
      <w:r w:rsidR="00AD619D" w:rsidRPr="00235B7E">
        <w:rPr>
          <w:lang w:val="en-US"/>
        </w:rPr>
        <w:t> </w:t>
      </w:r>
      <w:proofErr w:type="spellStart"/>
      <w:r w:rsidR="00D94872" w:rsidRPr="00235B7E">
        <w:rPr>
          <w:lang w:val="en-US"/>
        </w:rPr>
        <w:t>novembre</w:t>
      </w:r>
      <w:proofErr w:type="spellEnd"/>
      <w:r w:rsidR="00AD619D" w:rsidRPr="00235B7E">
        <w:rPr>
          <w:lang w:val="en-US"/>
        </w:rPr>
        <w:t> </w:t>
      </w:r>
      <w:r w:rsidR="00D94872" w:rsidRPr="00235B7E">
        <w:rPr>
          <w:lang w:val="en-US"/>
        </w:rPr>
        <w:t>2016</w:t>
      </w:r>
      <w:r w:rsidR="007D665F" w:rsidRPr="00130C7A">
        <w:rPr>
          <w:lang w:val="fr-FR"/>
        </w:rPr>
        <w:t xml:space="preserve">). </w:t>
      </w:r>
      <w:r w:rsidR="008F2704" w:rsidRPr="00130C7A">
        <w:rPr>
          <w:lang w:val="fr-FR"/>
        </w:rPr>
        <w:t>Quant à savoir s</w:t>
      </w:r>
      <w:r w:rsidR="00130C7A" w:rsidRPr="00130C7A">
        <w:rPr>
          <w:lang w:val="fr-FR"/>
        </w:rPr>
        <w:t>’</w:t>
      </w:r>
      <w:r w:rsidR="008F2704" w:rsidRPr="00130C7A">
        <w:rPr>
          <w:lang w:val="fr-FR"/>
        </w:rPr>
        <w:t>il faut prendre des mesures plus strictes à l</w:t>
      </w:r>
      <w:r w:rsidR="00130C7A" w:rsidRPr="00130C7A">
        <w:rPr>
          <w:lang w:val="fr-FR"/>
        </w:rPr>
        <w:t>’</w:t>
      </w:r>
      <w:r w:rsidR="008F2704" w:rsidRPr="00130C7A">
        <w:rPr>
          <w:lang w:val="fr-FR"/>
        </w:rPr>
        <w:t>égard d</w:t>
      </w:r>
      <w:r w:rsidR="00130C7A" w:rsidRPr="00130C7A">
        <w:rPr>
          <w:lang w:val="fr-FR"/>
        </w:rPr>
        <w:t>’</w:t>
      </w:r>
      <w:r w:rsidR="008F2704" w:rsidRPr="00130C7A">
        <w:rPr>
          <w:lang w:val="fr-FR"/>
        </w:rPr>
        <w:t>un détenu et s</w:t>
      </w:r>
      <w:r w:rsidR="00130C7A" w:rsidRPr="00130C7A">
        <w:rPr>
          <w:lang w:val="fr-FR"/>
        </w:rPr>
        <w:t>’</w:t>
      </w:r>
      <w:r w:rsidR="008F2704" w:rsidRPr="00130C7A">
        <w:rPr>
          <w:lang w:val="fr-FR"/>
        </w:rPr>
        <w:t>il est raisonnable de les appliquer, cela dépend des circonstances de l</w:t>
      </w:r>
      <w:r w:rsidR="00130C7A" w:rsidRPr="00130C7A">
        <w:rPr>
          <w:lang w:val="fr-FR"/>
        </w:rPr>
        <w:t>’</w:t>
      </w:r>
      <w:r w:rsidR="008F2704" w:rsidRPr="00130C7A">
        <w:rPr>
          <w:lang w:val="fr-FR"/>
        </w:rPr>
        <w:t>affaire (</w:t>
      </w:r>
      <w:proofErr w:type="spellStart"/>
      <w:r w:rsidR="008F2704" w:rsidRPr="00130C7A">
        <w:rPr>
          <w:i/>
          <w:lang w:val="fr-FR"/>
        </w:rPr>
        <w:t>Keenan</w:t>
      </w:r>
      <w:proofErr w:type="spellEnd"/>
      <w:r w:rsidR="00C17F10" w:rsidRPr="00130C7A">
        <w:rPr>
          <w:lang w:val="fr-FR"/>
        </w:rPr>
        <w:t xml:space="preserve">, </w:t>
      </w:r>
      <w:r w:rsidR="000E2208" w:rsidRPr="00130C7A">
        <w:rPr>
          <w:lang w:val="fr-FR"/>
        </w:rPr>
        <w:t>précité, § 92</w:t>
      </w:r>
      <w:r w:rsidR="00D94872" w:rsidRPr="00130C7A">
        <w:rPr>
          <w:lang w:val="fr-FR"/>
        </w:rPr>
        <w:t xml:space="preserve">, </w:t>
      </w:r>
      <w:proofErr w:type="spellStart"/>
      <w:r w:rsidR="008F2704" w:rsidRPr="00130C7A">
        <w:rPr>
          <w:i/>
          <w:lang w:val="fr-FR"/>
        </w:rPr>
        <w:t>Younger</w:t>
      </w:r>
      <w:proofErr w:type="spellEnd"/>
      <w:r w:rsidR="00FA011C" w:rsidRPr="00130C7A">
        <w:rPr>
          <w:lang w:val="fr-FR"/>
        </w:rPr>
        <w:t>,</w:t>
      </w:r>
      <w:r w:rsidR="008F2704" w:rsidRPr="00130C7A">
        <w:rPr>
          <w:lang w:val="fr-FR"/>
        </w:rPr>
        <w:t xml:space="preserve"> </w:t>
      </w:r>
      <w:r w:rsidR="00FA011C" w:rsidRPr="00130C7A">
        <w:rPr>
          <w:lang w:val="fr-FR"/>
        </w:rPr>
        <w:t xml:space="preserve">décision </w:t>
      </w:r>
      <w:r w:rsidR="008F2704" w:rsidRPr="00130C7A">
        <w:rPr>
          <w:lang w:val="fr-FR"/>
        </w:rPr>
        <w:t xml:space="preserve">précitée, </w:t>
      </w:r>
      <w:r w:rsidR="00D94872" w:rsidRPr="00130C7A">
        <w:rPr>
          <w:lang w:val="fr-FR"/>
        </w:rPr>
        <w:t xml:space="preserve">et </w:t>
      </w:r>
      <w:proofErr w:type="spellStart"/>
      <w:r w:rsidR="008F2704" w:rsidRPr="00130C7A">
        <w:rPr>
          <w:i/>
          <w:lang w:val="fr-FR"/>
        </w:rPr>
        <w:t>Troubnikov</w:t>
      </w:r>
      <w:proofErr w:type="spellEnd"/>
      <w:r w:rsidR="00FA011C" w:rsidRPr="00130C7A">
        <w:rPr>
          <w:lang w:val="fr-FR"/>
        </w:rPr>
        <w:t>,</w:t>
      </w:r>
      <w:r w:rsidR="008F2704" w:rsidRPr="00130C7A">
        <w:rPr>
          <w:lang w:val="fr-FR"/>
        </w:rPr>
        <w:t xml:space="preserve"> préci</w:t>
      </w:r>
      <w:r w:rsidRPr="00130C7A">
        <w:rPr>
          <w:lang w:val="fr-FR"/>
        </w:rPr>
        <w:t>té, § 70).</w:t>
      </w:r>
      <w:r w:rsidR="00EA2D7C" w:rsidRPr="00130C7A">
        <w:rPr>
          <w:lang w:val="fr-FR"/>
        </w:rPr>
        <w:t xml:space="preserve"> </w:t>
      </w:r>
      <w:r w:rsidR="00CB7532" w:rsidRPr="00130C7A">
        <w:rPr>
          <w:lang w:val="fr-FR"/>
        </w:rPr>
        <w:t>Enfin, la Cour réaffirme qu</w:t>
      </w:r>
      <w:r w:rsidR="00130C7A" w:rsidRPr="00130C7A">
        <w:rPr>
          <w:lang w:val="fr-FR"/>
        </w:rPr>
        <w:t>’</w:t>
      </w:r>
      <w:r w:rsidR="00CB7532" w:rsidRPr="00130C7A">
        <w:rPr>
          <w:lang w:val="fr-FR"/>
        </w:rPr>
        <w:t>il faut, dans le cas des mal</w:t>
      </w:r>
      <w:r w:rsidR="00893C64" w:rsidRPr="00130C7A">
        <w:rPr>
          <w:lang w:val="fr-FR"/>
        </w:rPr>
        <w:t>a</w:t>
      </w:r>
      <w:r w:rsidR="00CB7532" w:rsidRPr="00130C7A">
        <w:rPr>
          <w:lang w:val="fr-FR"/>
        </w:rPr>
        <w:t>des mentaux, tenir compte de leur particulière vulnérabilité (</w:t>
      </w:r>
      <w:proofErr w:type="spellStart"/>
      <w:r w:rsidR="00CB7532" w:rsidRPr="00130C7A">
        <w:rPr>
          <w:i/>
          <w:lang w:val="fr-FR"/>
        </w:rPr>
        <w:t>Keenan</w:t>
      </w:r>
      <w:proofErr w:type="spellEnd"/>
      <w:r w:rsidR="00CB7532" w:rsidRPr="00130C7A">
        <w:rPr>
          <w:lang w:val="fr-FR"/>
        </w:rPr>
        <w:t xml:space="preserve">, précité, </w:t>
      </w:r>
      <w:r w:rsidR="00601AD4" w:rsidRPr="00130C7A">
        <w:rPr>
          <w:lang w:val="fr-FR"/>
        </w:rPr>
        <w:t>§ 111</w:t>
      </w:r>
      <w:r w:rsidR="00B21640" w:rsidRPr="00130C7A">
        <w:rPr>
          <w:lang w:val="fr-FR"/>
        </w:rPr>
        <w:t>, et</w:t>
      </w:r>
      <w:r w:rsidR="00601AD4" w:rsidRPr="00130C7A">
        <w:rPr>
          <w:lang w:val="fr-FR"/>
        </w:rPr>
        <w:t xml:space="preserve"> </w:t>
      </w:r>
      <w:r w:rsidR="00601AD4" w:rsidRPr="00130C7A">
        <w:rPr>
          <w:i/>
          <w:lang w:val="fr-FR"/>
        </w:rPr>
        <w:t>Rivière c. France</w:t>
      </w:r>
      <w:r w:rsidR="00601AD4" w:rsidRPr="00130C7A">
        <w:rPr>
          <w:lang w:val="fr-FR"/>
        </w:rPr>
        <w:t>, n</w:t>
      </w:r>
      <w:r w:rsidR="001E0028" w:rsidRPr="00130C7A">
        <w:rPr>
          <w:vertAlign w:val="superscript"/>
          <w:lang w:val="fr-FR"/>
        </w:rPr>
        <w:t>o</w:t>
      </w:r>
      <w:r w:rsidR="00601AD4" w:rsidRPr="00130C7A">
        <w:rPr>
          <w:lang w:val="fr-FR"/>
        </w:rPr>
        <w:t xml:space="preserve"> 33834/03, § 63, 11 juillet 2006).</w:t>
      </w:r>
      <w:r w:rsidR="001446CB" w:rsidRPr="00130C7A">
        <w:rPr>
          <w:lang w:val="fr-FR"/>
        </w:rPr>
        <w:t xml:space="preserve"> Lorsque les autorités décident de placer et de maintenir en détention une personne atteinte d</w:t>
      </w:r>
      <w:r w:rsidR="00130C7A" w:rsidRPr="00130C7A">
        <w:rPr>
          <w:lang w:val="fr-FR"/>
        </w:rPr>
        <w:t>’</w:t>
      </w:r>
      <w:r w:rsidR="001446CB" w:rsidRPr="00130C7A">
        <w:rPr>
          <w:lang w:val="fr-FR"/>
        </w:rPr>
        <w:t>une maladie mentale, elles doivent veiller avec une rigueur particulière à ce que les conditions de sa détention répondent aux besoins spécifiques découlant de sa maladie (</w:t>
      </w:r>
      <w:r w:rsidR="001446CB" w:rsidRPr="00130C7A">
        <w:rPr>
          <w:i/>
          <w:lang w:val="fr-FR"/>
        </w:rPr>
        <w:t>Fernandes de Oliveira</w:t>
      </w:r>
      <w:r w:rsidR="001446CB" w:rsidRPr="00130C7A">
        <w:rPr>
          <w:lang w:val="fr-FR"/>
        </w:rPr>
        <w:t>, précité, § 113).</w:t>
      </w:r>
      <w:r w:rsidR="001A1561" w:rsidRPr="00130C7A">
        <w:rPr>
          <w:lang w:val="fr-FR"/>
        </w:rPr>
        <w:t xml:space="preserve"> S</w:t>
      </w:r>
      <w:r w:rsidR="00130C7A" w:rsidRPr="00130C7A">
        <w:rPr>
          <w:lang w:val="fr-FR"/>
        </w:rPr>
        <w:t>’</w:t>
      </w:r>
      <w:r w:rsidR="001A1561" w:rsidRPr="00130C7A">
        <w:rPr>
          <w:lang w:val="fr-FR"/>
        </w:rPr>
        <w:t>agissant des risques de suicide en particulier, toujours dans le contexte d</w:t>
      </w:r>
      <w:r w:rsidR="00130C7A" w:rsidRPr="00130C7A">
        <w:rPr>
          <w:lang w:val="fr-FR"/>
        </w:rPr>
        <w:t>’</w:t>
      </w:r>
      <w:r w:rsidR="001A1561" w:rsidRPr="00130C7A">
        <w:rPr>
          <w:lang w:val="fr-FR"/>
        </w:rPr>
        <w:t>une personne privée de liberté, la Cour a par ailleurs précédemment pris en compte divers facteurs afin d</w:t>
      </w:r>
      <w:r w:rsidR="00130C7A" w:rsidRPr="00130C7A">
        <w:rPr>
          <w:lang w:val="fr-FR"/>
        </w:rPr>
        <w:t>’</w:t>
      </w:r>
      <w:r w:rsidR="001A1561" w:rsidRPr="00130C7A">
        <w:rPr>
          <w:lang w:val="fr-FR"/>
        </w:rPr>
        <w:t>établir l</w:t>
      </w:r>
      <w:r w:rsidR="00130C7A" w:rsidRPr="00130C7A">
        <w:rPr>
          <w:lang w:val="fr-FR"/>
        </w:rPr>
        <w:t>’</w:t>
      </w:r>
      <w:r w:rsidR="001A1561" w:rsidRPr="00130C7A">
        <w:rPr>
          <w:lang w:val="fr-FR"/>
        </w:rPr>
        <w:t>étendue de l</w:t>
      </w:r>
      <w:r w:rsidR="00130C7A" w:rsidRPr="00130C7A">
        <w:rPr>
          <w:lang w:val="fr-FR"/>
        </w:rPr>
        <w:t>’</w:t>
      </w:r>
      <w:r w:rsidR="001A1561" w:rsidRPr="00130C7A">
        <w:rPr>
          <w:lang w:val="fr-FR"/>
        </w:rPr>
        <w:t xml:space="preserve">obligation positive des autorités de prendre des mesures préventives adéquates (voir, à cet égard, </w:t>
      </w:r>
      <w:r w:rsidR="001A1561" w:rsidRPr="00130C7A">
        <w:rPr>
          <w:i/>
          <w:lang w:val="fr-FR"/>
        </w:rPr>
        <w:t>Fernandes de Oliveira</w:t>
      </w:r>
      <w:r w:rsidR="001A1561" w:rsidRPr="00130C7A">
        <w:rPr>
          <w:lang w:val="fr-FR"/>
        </w:rPr>
        <w:t>, précité, § 115).</w:t>
      </w:r>
    </w:p>
    <w:p w:rsidR="00DA462B" w:rsidRPr="00130C7A" w:rsidRDefault="007D1E06" w:rsidP="00130C7A">
      <w:pPr>
        <w:pStyle w:val="ECHRHeading5"/>
        <w:rPr>
          <w:lang w:val="fr-FR"/>
        </w:rPr>
      </w:pPr>
      <w:r w:rsidRPr="00130C7A">
        <w:rPr>
          <w:lang w:val="fr-FR"/>
        </w:rPr>
        <w:lastRenderedPageBreak/>
        <w:t>ii</w:t>
      </w:r>
      <w:r w:rsidR="00C67E4E" w:rsidRPr="00130C7A">
        <w:rPr>
          <w:lang w:val="fr-FR"/>
        </w:rPr>
        <w:t>.  </w:t>
      </w:r>
      <w:r w:rsidR="00041814" w:rsidRPr="00130C7A">
        <w:rPr>
          <w:lang w:val="fr-FR"/>
        </w:rPr>
        <w:t xml:space="preserve">Application </w:t>
      </w:r>
      <w:r w:rsidR="00C67E4E" w:rsidRPr="00130C7A">
        <w:rPr>
          <w:lang w:val="fr-FR"/>
        </w:rPr>
        <w:t xml:space="preserve">au </w:t>
      </w:r>
      <w:r w:rsidR="00041814" w:rsidRPr="00130C7A">
        <w:rPr>
          <w:lang w:val="fr-FR"/>
        </w:rPr>
        <w:t>cas d</w:t>
      </w:r>
      <w:r w:rsidR="00130C7A" w:rsidRPr="00130C7A">
        <w:rPr>
          <w:lang w:val="fr-FR"/>
        </w:rPr>
        <w:t>’</w:t>
      </w:r>
      <w:r w:rsidR="00041814" w:rsidRPr="00130C7A">
        <w:rPr>
          <w:lang w:val="fr-FR"/>
        </w:rPr>
        <w:t>espèce</w:t>
      </w:r>
    </w:p>
    <w:p w:rsidR="00677400" w:rsidRPr="00130C7A" w:rsidRDefault="00E70D87" w:rsidP="00130C7A">
      <w:pPr>
        <w:pStyle w:val="ECHRPara"/>
        <w:keepNext/>
        <w:keepLines/>
        <w:rPr>
          <w:rFonts w:eastAsia="Times New Roman"/>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78</w:t>
      </w:r>
      <w:r w:rsidRPr="00130C7A">
        <w:rPr>
          <w:lang w:val="fr-FR"/>
        </w:rPr>
        <w:fldChar w:fldCharType="end"/>
      </w:r>
      <w:r w:rsidRPr="00130C7A">
        <w:rPr>
          <w:lang w:val="fr-FR"/>
        </w:rPr>
        <w:t>.  </w:t>
      </w:r>
      <w:r w:rsidR="00890146" w:rsidRPr="00130C7A">
        <w:rPr>
          <w:lang w:val="fr-FR"/>
        </w:rPr>
        <w:t xml:space="preserve">La Cour </w:t>
      </w:r>
      <w:r w:rsidR="00AB579E" w:rsidRPr="00130C7A">
        <w:rPr>
          <w:lang w:val="fr-FR"/>
        </w:rPr>
        <w:t>rappelle</w:t>
      </w:r>
      <w:r w:rsidR="00890146" w:rsidRPr="00130C7A">
        <w:rPr>
          <w:lang w:val="fr-FR"/>
        </w:rPr>
        <w:t xml:space="preserve"> tout d</w:t>
      </w:r>
      <w:r w:rsidR="00130C7A" w:rsidRPr="00130C7A">
        <w:rPr>
          <w:lang w:val="fr-FR"/>
        </w:rPr>
        <w:t>’</w:t>
      </w:r>
      <w:r w:rsidR="00890146" w:rsidRPr="00130C7A">
        <w:rPr>
          <w:lang w:val="fr-FR"/>
        </w:rPr>
        <w:t>abord que</w:t>
      </w:r>
      <w:r w:rsidR="00297B20" w:rsidRPr="00130C7A">
        <w:rPr>
          <w:lang w:val="fr-FR"/>
        </w:rPr>
        <w:t xml:space="preserve"> </w:t>
      </w:r>
      <w:r w:rsidR="00522336" w:rsidRPr="00130C7A">
        <w:rPr>
          <w:lang w:val="fr-FR"/>
        </w:rPr>
        <w:t xml:space="preserve">rien </w:t>
      </w:r>
      <w:r w:rsidR="00D96B62" w:rsidRPr="00130C7A">
        <w:rPr>
          <w:lang w:val="fr-FR"/>
        </w:rPr>
        <w:t>dans le dossier</w:t>
      </w:r>
      <w:r w:rsidR="00245C34" w:rsidRPr="00130C7A">
        <w:rPr>
          <w:lang w:val="fr-FR"/>
        </w:rPr>
        <w:t xml:space="preserve"> n</w:t>
      </w:r>
      <w:r w:rsidR="00130C7A" w:rsidRPr="00130C7A">
        <w:rPr>
          <w:lang w:val="fr-FR"/>
        </w:rPr>
        <w:t>’</w:t>
      </w:r>
      <w:r w:rsidR="00245C34" w:rsidRPr="00130C7A">
        <w:rPr>
          <w:lang w:val="fr-FR"/>
        </w:rPr>
        <w:t>indique</w:t>
      </w:r>
      <w:r w:rsidR="00B62BF5" w:rsidRPr="00130C7A">
        <w:rPr>
          <w:lang w:val="fr-FR"/>
        </w:rPr>
        <w:t xml:space="preserve"> –</w:t>
      </w:r>
      <w:r w:rsidR="00522336" w:rsidRPr="00130C7A">
        <w:rPr>
          <w:lang w:val="fr-FR"/>
        </w:rPr>
        <w:t xml:space="preserve"> ni </w:t>
      </w:r>
      <w:r w:rsidR="00297B20" w:rsidRPr="00130C7A">
        <w:rPr>
          <w:lang w:val="fr-FR"/>
        </w:rPr>
        <w:t>n</w:t>
      </w:r>
      <w:r w:rsidR="00130C7A" w:rsidRPr="00130C7A">
        <w:rPr>
          <w:lang w:val="fr-FR"/>
        </w:rPr>
        <w:t>’</w:t>
      </w:r>
      <w:r w:rsidR="00297B20" w:rsidRPr="00130C7A">
        <w:rPr>
          <w:lang w:val="fr-FR"/>
        </w:rPr>
        <w:t xml:space="preserve">est </w:t>
      </w:r>
      <w:r w:rsidR="009A5E4A" w:rsidRPr="00130C7A">
        <w:rPr>
          <w:lang w:val="fr-FR"/>
        </w:rPr>
        <w:t>d</w:t>
      </w:r>
      <w:r w:rsidR="00130C7A" w:rsidRPr="00130C7A">
        <w:rPr>
          <w:lang w:val="fr-FR"/>
        </w:rPr>
        <w:t>’</w:t>
      </w:r>
      <w:r w:rsidR="00522336" w:rsidRPr="00130C7A">
        <w:rPr>
          <w:lang w:val="fr-FR"/>
        </w:rPr>
        <w:t xml:space="preserve">ailleurs suggéré </w:t>
      </w:r>
      <w:r w:rsidR="009A5E4A" w:rsidRPr="00130C7A">
        <w:rPr>
          <w:lang w:val="fr-FR"/>
        </w:rPr>
        <w:t xml:space="preserve">en ce sens </w:t>
      </w:r>
      <w:r w:rsidR="00522336" w:rsidRPr="00130C7A">
        <w:rPr>
          <w:lang w:val="fr-FR"/>
        </w:rPr>
        <w:t>par le requérant</w:t>
      </w:r>
      <w:r w:rsidR="00B62BF5" w:rsidRPr="00130C7A">
        <w:rPr>
          <w:lang w:val="fr-FR"/>
        </w:rPr>
        <w:t xml:space="preserve"> –</w:t>
      </w:r>
      <w:r w:rsidR="00522336" w:rsidRPr="00130C7A">
        <w:rPr>
          <w:lang w:val="fr-FR"/>
        </w:rPr>
        <w:t xml:space="preserve"> que </w:t>
      </w:r>
      <w:r w:rsidR="004E1C48" w:rsidRPr="00130C7A">
        <w:rPr>
          <w:lang w:val="fr-FR"/>
        </w:rPr>
        <w:t xml:space="preserve">le </w:t>
      </w:r>
      <w:r w:rsidR="00B251F5" w:rsidRPr="00130C7A">
        <w:rPr>
          <w:lang w:val="fr-FR"/>
        </w:rPr>
        <w:t>décès</w:t>
      </w:r>
      <w:r w:rsidR="004E1C48" w:rsidRPr="00130C7A">
        <w:rPr>
          <w:lang w:val="fr-FR"/>
        </w:rPr>
        <w:t xml:space="preserve"> </w:t>
      </w:r>
      <w:r w:rsidR="00522336" w:rsidRPr="00130C7A">
        <w:rPr>
          <w:lang w:val="fr-FR"/>
        </w:rPr>
        <w:t>d</w:t>
      </w:r>
      <w:r w:rsidR="005945AB" w:rsidRPr="00130C7A">
        <w:rPr>
          <w:lang w:val="fr-FR"/>
        </w:rPr>
        <w:t xml:space="preserve">e </w:t>
      </w:r>
      <w:r w:rsidR="00522336" w:rsidRPr="00130C7A">
        <w:rPr>
          <w:lang w:val="fr-FR"/>
        </w:rPr>
        <w:t>A</w:t>
      </w:r>
      <w:r w:rsidR="00B251F5" w:rsidRPr="00130C7A">
        <w:rPr>
          <w:lang w:val="fr-FR"/>
        </w:rPr>
        <w:t>.</w:t>
      </w:r>
      <w:r w:rsidR="004E1C48" w:rsidRPr="00130C7A">
        <w:rPr>
          <w:lang w:val="fr-FR"/>
        </w:rPr>
        <w:t xml:space="preserve"> </w:t>
      </w:r>
      <w:r w:rsidR="00522336" w:rsidRPr="00130C7A">
        <w:rPr>
          <w:lang w:val="fr-FR"/>
        </w:rPr>
        <w:t>a</w:t>
      </w:r>
      <w:r w:rsidR="004E1C48" w:rsidRPr="00130C7A">
        <w:rPr>
          <w:lang w:val="fr-FR"/>
        </w:rPr>
        <w:t xml:space="preserve"> été provoqué </w:t>
      </w:r>
      <w:r w:rsidR="00B251F5" w:rsidRPr="00130C7A">
        <w:rPr>
          <w:lang w:val="fr-FR"/>
        </w:rPr>
        <w:t>intentionnellement</w:t>
      </w:r>
      <w:r w:rsidR="00AB579E" w:rsidRPr="00130C7A">
        <w:rPr>
          <w:lang w:val="fr-FR"/>
        </w:rPr>
        <w:t xml:space="preserve"> par des tiers</w:t>
      </w:r>
      <w:r w:rsidR="001E7D72" w:rsidRPr="00130C7A">
        <w:rPr>
          <w:lang w:val="fr-FR"/>
        </w:rPr>
        <w:t>.</w:t>
      </w:r>
      <w:r w:rsidR="004E1C48" w:rsidRPr="00130C7A">
        <w:rPr>
          <w:lang w:val="fr-FR"/>
        </w:rPr>
        <w:t xml:space="preserve"> </w:t>
      </w:r>
      <w:r w:rsidR="00AB579E" w:rsidRPr="00130C7A">
        <w:rPr>
          <w:lang w:val="fr-FR"/>
        </w:rPr>
        <w:t>En l</w:t>
      </w:r>
      <w:r w:rsidR="00130C7A" w:rsidRPr="00130C7A">
        <w:rPr>
          <w:lang w:val="fr-FR"/>
        </w:rPr>
        <w:t>’</w:t>
      </w:r>
      <w:r w:rsidR="00AB579E" w:rsidRPr="00130C7A">
        <w:rPr>
          <w:lang w:val="fr-FR"/>
        </w:rPr>
        <w:t xml:space="preserve">occurrence, </w:t>
      </w:r>
      <w:r w:rsidR="00AB579E" w:rsidRPr="00130C7A">
        <w:rPr>
          <w:rFonts w:eastAsia="Times New Roman"/>
          <w:lang w:val="fr-FR"/>
        </w:rPr>
        <w:t>l</w:t>
      </w:r>
      <w:r w:rsidR="00677400" w:rsidRPr="00130C7A">
        <w:rPr>
          <w:rFonts w:eastAsia="Times New Roman"/>
          <w:lang w:val="fr-FR"/>
        </w:rPr>
        <w:t>a question se pose</w:t>
      </w:r>
      <w:r w:rsidR="00AB579E" w:rsidRPr="00130C7A">
        <w:rPr>
          <w:rFonts w:eastAsia="Times New Roman"/>
          <w:lang w:val="fr-FR"/>
        </w:rPr>
        <w:t xml:space="preserve"> </w:t>
      </w:r>
      <w:r w:rsidR="008A3216" w:rsidRPr="00130C7A">
        <w:rPr>
          <w:rFonts w:eastAsia="Times New Roman"/>
          <w:lang w:val="fr-FR"/>
        </w:rPr>
        <w:t xml:space="preserve">plutôt </w:t>
      </w:r>
      <w:r w:rsidR="00677400" w:rsidRPr="00130C7A">
        <w:rPr>
          <w:rFonts w:eastAsia="Times New Roman"/>
          <w:lang w:val="fr-FR"/>
        </w:rPr>
        <w:t xml:space="preserve">de savoir si les autorités ont failli à leur obligation positive de protéger la vie du neveu du requérant compte tenu </w:t>
      </w:r>
      <w:r w:rsidR="00893C64" w:rsidRPr="00130C7A">
        <w:rPr>
          <w:lang w:val="fr-FR"/>
        </w:rPr>
        <w:t>de sa situation</w:t>
      </w:r>
      <w:r w:rsidR="00703B1C" w:rsidRPr="00130C7A">
        <w:rPr>
          <w:lang w:val="fr-FR"/>
        </w:rPr>
        <w:t xml:space="preserve"> personnelle</w:t>
      </w:r>
      <w:r w:rsidR="00893C64" w:rsidRPr="00130C7A">
        <w:rPr>
          <w:lang w:val="fr-FR"/>
        </w:rPr>
        <w:t>.</w:t>
      </w:r>
    </w:p>
    <w:p w:rsidR="001E0028" w:rsidRPr="00130C7A" w:rsidRDefault="00395C73"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79</w:t>
      </w:r>
      <w:r w:rsidRPr="00130C7A">
        <w:rPr>
          <w:lang w:val="fr-FR"/>
        </w:rPr>
        <w:fldChar w:fldCharType="end"/>
      </w:r>
      <w:r w:rsidRPr="00130C7A">
        <w:rPr>
          <w:lang w:val="fr-FR"/>
        </w:rPr>
        <w:t>.  </w:t>
      </w:r>
      <w:r w:rsidR="00D96B62" w:rsidRPr="00130C7A">
        <w:rPr>
          <w:lang w:val="fr-FR"/>
        </w:rPr>
        <w:t>Ensuite, l</w:t>
      </w:r>
      <w:r w:rsidR="00504ABE" w:rsidRPr="00130C7A">
        <w:rPr>
          <w:lang w:val="fr-FR"/>
        </w:rPr>
        <w:t>a Cour observe</w:t>
      </w:r>
      <w:r w:rsidR="00D96B62" w:rsidRPr="00130C7A">
        <w:rPr>
          <w:lang w:val="fr-FR"/>
        </w:rPr>
        <w:t xml:space="preserve"> </w:t>
      </w:r>
      <w:r w:rsidR="008B2F63" w:rsidRPr="00130C7A">
        <w:rPr>
          <w:lang w:val="fr-FR"/>
        </w:rPr>
        <w:t>que celui-ci</w:t>
      </w:r>
      <w:r w:rsidR="00667BA5" w:rsidRPr="00130C7A">
        <w:rPr>
          <w:lang w:val="fr-FR"/>
        </w:rPr>
        <w:t>, comme les autorités nationales l</w:t>
      </w:r>
      <w:r w:rsidR="00130C7A" w:rsidRPr="00130C7A">
        <w:rPr>
          <w:lang w:val="fr-FR"/>
        </w:rPr>
        <w:t>’</w:t>
      </w:r>
      <w:r w:rsidR="00667BA5" w:rsidRPr="00130C7A">
        <w:rPr>
          <w:lang w:val="fr-FR"/>
        </w:rPr>
        <w:t>ont constaté,</w:t>
      </w:r>
      <w:r w:rsidR="00112F0A" w:rsidRPr="00130C7A">
        <w:rPr>
          <w:lang w:val="fr-FR"/>
        </w:rPr>
        <w:t xml:space="preserve"> </w:t>
      </w:r>
      <w:r w:rsidR="00881266" w:rsidRPr="00130C7A">
        <w:rPr>
          <w:lang w:val="fr-FR"/>
        </w:rPr>
        <w:t>n</w:t>
      </w:r>
      <w:r w:rsidR="00130C7A" w:rsidRPr="00130C7A">
        <w:rPr>
          <w:lang w:val="fr-FR"/>
        </w:rPr>
        <w:t>’</w:t>
      </w:r>
      <w:r w:rsidR="00881266" w:rsidRPr="00130C7A">
        <w:rPr>
          <w:lang w:val="fr-FR"/>
        </w:rPr>
        <w:t>est vraisemblablement pas décédé des suites d</w:t>
      </w:r>
      <w:r w:rsidR="00130C7A" w:rsidRPr="00130C7A">
        <w:rPr>
          <w:lang w:val="fr-FR"/>
        </w:rPr>
        <w:t>’</w:t>
      </w:r>
      <w:r w:rsidR="00881266" w:rsidRPr="00130C7A">
        <w:rPr>
          <w:lang w:val="fr-FR"/>
        </w:rPr>
        <w:t>un acte volontaire d</w:t>
      </w:r>
      <w:r w:rsidR="00130C7A" w:rsidRPr="00130C7A">
        <w:rPr>
          <w:lang w:val="fr-FR"/>
        </w:rPr>
        <w:t>’</w:t>
      </w:r>
      <w:r w:rsidR="00881266" w:rsidRPr="00130C7A">
        <w:rPr>
          <w:lang w:val="fr-FR"/>
        </w:rPr>
        <w:t>automutilation</w:t>
      </w:r>
      <w:r w:rsidR="00881266" w:rsidRPr="00130C7A">
        <w:rPr>
          <w:rFonts w:ascii="Times New Roman" w:eastAsia="Times New Roman" w:hAnsi="Times New Roman" w:cs="Times New Roman"/>
          <w:lang w:val="fr-FR"/>
        </w:rPr>
        <w:t xml:space="preserve"> mais par l</w:t>
      </w:r>
      <w:r w:rsidR="00130C7A" w:rsidRPr="00130C7A">
        <w:rPr>
          <w:rFonts w:ascii="Times New Roman" w:eastAsia="Times New Roman" w:hAnsi="Times New Roman" w:cs="Times New Roman"/>
          <w:lang w:val="fr-FR"/>
        </w:rPr>
        <w:t>’</w:t>
      </w:r>
      <w:r w:rsidR="00881266" w:rsidRPr="00130C7A">
        <w:rPr>
          <w:rFonts w:ascii="Times New Roman" w:eastAsia="Times New Roman" w:hAnsi="Times New Roman" w:cs="Times New Roman"/>
          <w:lang w:val="fr-FR"/>
        </w:rPr>
        <w:t>effet de l</w:t>
      </w:r>
      <w:r w:rsidR="00130C7A" w:rsidRPr="00130C7A">
        <w:rPr>
          <w:rFonts w:ascii="Times New Roman" w:eastAsia="Times New Roman" w:hAnsi="Times New Roman" w:cs="Times New Roman"/>
          <w:lang w:val="fr-FR"/>
        </w:rPr>
        <w:t>’</w:t>
      </w:r>
      <w:r w:rsidR="00881266" w:rsidRPr="00130C7A">
        <w:rPr>
          <w:rFonts w:ascii="Times New Roman" w:eastAsia="Times New Roman" w:hAnsi="Times New Roman" w:cs="Times New Roman"/>
          <w:lang w:val="fr-FR"/>
        </w:rPr>
        <w:t>utilisation détournée d</w:t>
      </w:r>
      <w:r w:rsidR="00130C7A" w:rsidRPr="00130C7A">
        <w:rPr>
          <w:rFonts w:ascii="Times New Roman" w:eastAsia="Times New Roman" w:hAnsi="Times New Roman" w:cs="Times New Roman"/>
          <w:lang w:val="fr-FR"/>
        </w:rPr>
        <w:t>’</w:t>
      </w:r>
      <w:r w:rsidR="00881266" w:rsidRPr="00130C7A">
        <w:rPr>
          <w:rFonts w:ascii="Times New Roman" w:eastAsia="Times New Roman" w:hAnsi="Times New Roman" w:cs="Times New Roman"/>
          <w:lang w:val="fr-FR"/>
        </w:rPr>
        <w:t>une substance dangereuse</w:t>
      </w:r>
      <w:r w:rsidR="00B540F6" w:rsidRPr="00130C7A">
        <w:rPr>
          <w:rFonts w:ascii="Times New Roman" w:eastAsia="Times New Roman" w:hAnsi="Times New Roman" w:cs="Times New Roman"/>
          <w:lang w:val="fr-FR"/>
        </w:rPr>
        <w:t>,</w:t>
      </w:r>
      <w:r w:rsidR="00881266" w:rsidRPr="00130C7A">
        <w:rPr>
          <w:rFonts w:ascii="Times New Roman" w:eastAsia="Times New Roman" w:hAnsi="Times New Roman" w:cs="Times New Roman"/>
          <w:lang w:val="fr-FR"/>
        </w:rPr>
        <w:t xml:space="preserve"> dont il était entré en possession de manière régulière. </w:t>
      </w:r>
      <w:r w:rsidR="00D96B62" w:rsidRPr="00130C7A">
        <w:rPr>
          <w:rFonts w:ascii="Times New Roman" w:eastAsia="Times New Roman" w:hAnsi="Times New Roman" w:cs="Times New Roman"/>
          <w:lang w:val="fr-FR"/>
        </w:rPr>
        <w:t>Elle</w:t>
      </w:r>
      <w:r w:rsidR="00881266" w:rsidRPr="00130C7A">
        <w:rPr>
          <w:rFonts w:ascii="Times New Roman" w:eastAsia="Times New Roman" w:hAnsi="Times New Roman" w:cs="Times New Roman"/>
          <w:lang w:val="fr-FR"/>
        </w:rPr>
        <w:t xml:space="preserve"> constate</w:t>
      </w:r>
      <w:r w:rsidR="00315BEC" w:rsidRPr="00130C7A">
        <w:rPr>
          <w:rFonts w:ascii="Times New Roman" w:eastAsia="Times New Roman" w:hAnsi="Times New Roman" w:cs="Times New Roman"/>
          <w:lang w:val="fr-FR"/>
        </w:rPr>
        <w:t xml:space="preserve"> </w:t>
      </w:r>
      <w:r w:rsidR="002B50A4" w:rsidRPr="00130C7A">
        <w:rPr>
          <w:rFonts w:ascii="Times New Roman" w:eastAsia="Times New Roman" w:hAnsi="Times New Roman" w:cs="Times New Roman"/>
          <w:lang w:val="fr-FR"/>
        </w:rPr>
        <w:t>par ailleurs</w:t>
      </w:r>
      <w:r w:rsidR="00881266" w:rsidRPr="00130C7A">
        <w:rPr>
          <w:rFonts w:ascii="Times New Roman" w:eastAsia="Times New Roman" w:hAnsi="Times New Roman" w:cs="Times New Roman"/>
          <w:lang w:val="fr-FR"/>
        </w:rPr>
        <w:t xml:space="preserve"> que, </w:t>
      </w:r>
      <w:r w:rsidR="008177C0" w:rsidRPr="00130C7A">
        <w:rPr>
          <w:lang w:val="fr-FR"/>
        </w:rPr>
        <w:t>bien qu</w:t>
      </w:r>
      <w:r w:rsidR="00130C7A" w:rsidRPr="00130C7A">
        <w:rPr>
          <w:lang w:val="fr-FR"/>
        </w:rPr>
        <w:t>’</w:t>
      </w:r>
      <w:r w:rsidR="008177C0" w:rsidRPr="00130C7A">
        <w:rPr>
          <w:lang w:val="fr-FR"/>
        </w:rPr>
        <w:t xml:space="preserve">atteint de troubles du comportement liés à </w:t>
      </w:r>
      <w:r w:rsidR="00190C3B" w:rsidRPr="00130C7A">
        <w:rPr>
          <w:lang w:val="fr-FR"/>
        </w:rPr>
        <w:t>son addiction à l</w:t>
      </w:r>
      <w:r w:rsidR="00130C7A" w:rsidRPr="00130C7A">
        <w:rPr>
          <w:lang w:val="fr-FR"/>
        </w:rPr>
        <w:t>’</w:t>
      </w:r>
      <w:r w:rsidR="008177C0" w:rsidRPr="00130C7A">
        <w:rPr>
          <w:lang w:val="fr-FR"/>
        </w:rPr>
        <w:t xml:space="preserve">alcool et </w:t>
      </w:r>
      <w:r w:rsidR="00190C3B" w:rsidRPr="00130C7A">
        <w:rPr>
          <w:lang w:val="fr-FR"/>
        </w:rPr>
        <w:t>aux</w:t>
      </w:r>
      <w:r w:rsidR="008177C0" w:rsidRPr="00130C7A">
        <w:rPr>
          <w:lang w:val="fr-FR"/>
        </w:rPr>
        <w:t xml:space="preserve"> drogues, </w:t>
      </w:r>
      <w:r w:rsidR="00315BEC" w:rsidRPr="00130C7A">
        <w:rPr>
          <w:lang w:val="fr-FR"/>
        </w:rPr>
        <w:t>A.</w:t>
      </w:r>
      <w:r w:rsidR="00881266" w:rsidRPr="00130C7A">
        <w:rPr>
          <w:lang w:val="fr-FR"/>
        </w:rPr>
        <w:t xml:space="preserve"> </w:t>
      </w:r>
      <w:r w:rsidR="008177C0" w:rsidRPr="00130C7A">
        <w:rPr>
          <w:lang w:val="fr-FR"/>
        </w:rPr>
        <w:t>n</w:t>
      </w:r>
      <w:r w:rsidR="00130C7A" w:rsidRPr="00130C7A">
        <w:rPr>
          <w:lang w:val="fr-FR"/>
        </w:rPr>
        <w:t>’</w:t>
      </w:r>
      <w:r w:rsidR="008177C0" w:rsidRPr="00130C7A">
        <w:rPr>
          <w:lang w:val="fr-FR"/>
        </w:rPr>
        <w:t>avait jamais montré de tendances suicidaires et ne souffrait pas de troubles menta</w:t>
      </w:r>
      <w:r w:rsidR="00D96B62" w:rsidRPr="00130C7A">
        <w:rPr>
          <w:lang w:val="fr-FR"/>
        </w:rPr>
        <w:t>ux</w:t>
      </w:r>
      <w:r w:rsidR="00EC4DBB" w:rsidRPr="00130C7A">
        <w:rPr>
          <w:lang w:val="fr-FR"/>
        </w:rPr>
        <w:t xml:space="preserve"> graves</w:t>
      </w:r>
      <w:r w:rsidR="008177C0" w:rsidRPr="00130C7A">
        <w:rPr>
          <w:lang w:val="fr-FR"/>
        </w:rPr>
        <w:t xml:space="preserve"> (</w:t>
      </w:r>
      <w:r w:rsidR="00D96B62" w:rsidRPr="00130C7A">
        <w:rPr>
          <w:lang w:val="fr-FR"/>
        </w:rPr>
        <w:t xml:space="preserve">voir, </w:t>
      </w:r>
      <w:r w:rsidR="008177C0" w:rsidRPr="00130C7A">
        <w:rPr>
          <w:i/>
          <w:lang w:val="fr-FR"/>
        </w:rPr>
        <w:t>mutatis mutandis,</w:t>
      </w:r>
      <w:r w:rsidR="008177C0" w:rsidRPr="00130C7A">
        <w:rPr>
          <w:lang w:val="fr-FR"/>
        </w:rPr>
        <w:t xml:space="preserve"> </w:t>
      </w:r>
      <w:proofErr w:type="spellStart"/>
      <w:r w:rsidR="008177C0" w:rsidRPr="00130C7A">
        <w:rPr>
          <w:i/>
          <w:lang w:val="fr-FR"/>
        </w:rPr>
        <w:t>Troubnikov</w:t>
      </w:r>
      <w:proofErr w:type="spellEnd"/>
      <w:r w:rsidR="008177C0" w:rsidRPr="00130C7A">
        <w:rPr>
          <w:lang w:val="fr-FR"/>
        </w:rPr>
        <w:t>, précité, § 73</w:t>
      </w:r>
      <w:r w:rsidR="00D96B62" w:rsidRPr="00130C7A">
        <w:rPr>
          <w:lang w:val="fr-FR"/>
        </w:rPr>
        <w:t>,</w:t>
      </w:r>
      <w:r w:rsidR="008177C0" w:rsidRPr="00130C7A">
        <w:rPr>
          <w:lang w:val="fr-FR"/>
        </w:rPr>
        <w:t xml:space="preserve"> et, </w:t>
      </w:r>
      <w:r w:rsidR="008177C0" w:rsidRPr="00130C7A">
        <w:rPr>
          <w:i/>
          <w:lang w:val="fr-FR"/>
        </w:rPr>
        <w:t>a contrario</w:t>
      </w:r>
      <w:r w:rsidR="008177C0" w:rsidRPr="00130C7A">
        <w:rPr>
          <w:lang w:val="fr-FR"/>
        </w:rPr>
        <w:t xml:space="preserve">, </w:t>
      </w:r>
      <w:r w:rsidR="000C298A" w:rsidRPr="00130C7A">
        <w:rPr>
          <w:i/>
          <w:iCs/>
          <w:lang w:val="fr-FR"/>
        </w:rPr>
        <w:t>Fernandes de Oliveira</w:t>
      </w:r>
      <w:r w:rsidR="00DB397D" w:rsidRPr="00130C7A">
        <w:rPr>
          <w:iCs/>
          <w:lang w:val="fr-FR"/>
        </w:rPr>
        <w:t>,</w:t>
      </w:r>
      <w:r w:rsidR="000C298A" w:rsidRPr="00130C7A">
        <w:rPr>
          <w:i/>
          <w:iCs/>
          <w:lang w:val="fr-FR"/>
        </w:rPr>
        <w:t xml:space="preserve"> </w:t>
      </w:r>
      <w:r w:rsidR="00DB397D" w:rsidRPr="00130C7A">
        <w:rPr>
          <w:iCs/>
          <w:lang w:val="fr-FR"/>
        </w:rPr>
        <w:t>précité</w:t>
      </w:r>
      <w:r w:rsidR="003859FC" w:rsidRPr="00130C7A">
        <w:rPr>
          <w:lang w:val="fr-FR"/>
        </w:rPr>
        <w:t>, § 124</w:t>
      </w:r>
      <w:r w:rsidR="000C298A" w:rsidRPr="00130C7A">
        <w:rPr>
          <w:lang w:val="fr-FR"/>
        </w:rPr>
        <w:t>, 31 janvier 2019</w:t>
      </w:r>
      <w:r w:rsidR="001751F5" w:rsidRPr="00130C7A">
        <w:rPr>
          <w:lang w:val="fr-FR"/>
        </w:rPr>
        <w:t>)</w:t>
      </w:r>
      <w:r w:rsidR="00881266" w:rsidRPr="00130C7A">
        <w:rPr>
          <w:lang w:val="fr-FR"/>
        </w:rPr>
        <w:t>.</w:t>
      </w:r>
    </w:p>
    <w:p w:rsidR="00422B83" w:rsidRPr="00130C7A" w:rsidRDefault="0088126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80</w:t>
      </w:r>
      <w:r w:rsidRPr="00130C7A">
        <w:rPr>
          <w:lang w:val="fr-FR"/>
        </w:rPr>
        <w:fldChar w:fldCharType="end"/>
      </w:r>
      <w:r w:rsidRPr="00130C7A">
        <w:rPr>
          <w:lang w:val="fr-FR"/>
        </w:rPr>
        <w:t>.  </w:t>
      </w:r>
      <w:r w:rsidR="00FB577D" w:rsidRPr="00130C7A">
        <w:rPr>
          <w:lang w:val="fr-FR"/>
        </w:rPr>
        <w:t>B</w:t>
      </w:r>
      <w:r w:rsidR="00CB7532" w:rsidRPr="00130C7A">
        <w:rPr>
          <w:lang w:val="fr-FR"/>
        </w:rPr>
        <w:t xml:space="preserve">ien que la victime </w:t>
      </w:r>
      <w:r w:rsidR="00703669" w:rsidRPr="00130C7A">
        <w:rPr>
          <w:lang w:val="fr-FR"/>
        </w:rPr>
        <w:t xml:space="preserve">ne se </w:t>
      </w:r>
      <w:r w:rsidR="00B540F6" w:rsidRPr="00130C7A">
        <w:rPr>
          <w:lang w:val="fr-FR"/>
        </w:rPr>
        <w:t xml:space="preserve">trouvât </w:t>
      </w:r>
      <w:r w:rsidR="00CB7532" w:rsidRPr="00130C7A">
        <w:rPr>
          <w:lang w:val="fr-FR"/>
        </w:rPr>
        <w:t xml:space="preserve">pas dans </w:t>
      </w:r>
      <w:r w:rsidR="00454975" w:rsidRPr="00130C7A">
        <w:rPr>
          <w:lang w:val="fr-FR"/>
        </w:rPr>
        <w:t xml:space="preserve">une </w:t>
      </w:r>
      <w:r w:rsidR="00703B1C" w:rsidRPr="00130C7A">
        <w:rPr>
          <w:lang w:val="fr-FR"/>
        </w:rPr>
        <w:t xml:space="preserve">situation de vulnérabilité particulière </w:t>
      </w:r>
      <w:r w:rsidR="00814553" w:rsidRPr="00130C7A">
        <w:rPr>
          <w:lang w:val="fr-FR"/>
        </w:rPr>
        <w:t xml:space="preserve">en raison de </w:t>
      </w:r>
      <w:r w:rsidR="00CB7532" w:rsidRPr="00130C7A">
        <w:rPr>
          <w:lang w:val="fr-FR"/>
        </w:rPr>
        <w:t>son état me</w:t>
      </w:r>
      <w:r w:rsidR="00703B1C" w:rsidRPr="00130C7A">
        <w:rPr>
          <w:lang w:val="fr-FR"/>
        </w:rPr>
        <w:t xml:space="preserve">ntal, il </w:t>
      </w:r>
      <w:r w:rsidR="00DF3069" w:rsidRPr="00130C7A">
        <w:rPr>
          <w:lang w:val="fr-FR"/>
        </w:rPr>
        <w:t>n</w:t>
      </w:r>
      <w:r w:rsidR="00130C7A" w:rsidRPr="00130C7A">
        <w:rPr>
          <w:lang w:val="fr-FR"/>
        </w:rPr>
        <w:t>’</w:t>
      </w:r>
      <w:r w:rsidR="00703B1C" w:rsidRPr="00130C7A">
        <w:rPr>
          <w:lang w:val="fr-FR"/>
        </w:rPr>
        <w:t>en r</w:t>
      </w:r>
      <w:r w:rsidR="00392E3A" w:rsidRPr="00130C7A">
        <w:rPr>
          <w:lang w:val="fr-FR"/>
        </w:rPr>
        <w:t>este pas moins</w:t>
      </w:r>
      <w:r w:rsidR="00A408EE" w:rsidRPr="00130C7A">
        <w:rPr>
          <w:lang w:val="fr-FR"/>
        </w:rPr>
        <w:t>, aux yeux de la Cour,</w:t>
      </w:r>
      <w:r w:rsidR="00392E3A" w:rsidRPr="00130C7A">
        <w:rPr>
          <w:lang w:val="fr-FR"/>
        </w:rPr>
        <w:t xml:space="preserve"> </w:t>
      </w:r>
      <w:r w:rsidR="00454975" w:rsidRPr="00130C7A">
        <w:rPr>
          <w:lang w:val="fr-FR"/>
        </w:rPr>
        <w:t>que</w:t>
      </w:r>
      <w:r w:rsidR="00392E3A" w:rsidRPr="00130C7A">
        <w:rPr>
          <w:lang w:val="fr-FR"/>
        </w:rPr>
        <w:t xml:space="preserve"> sa toxicomanie chronique</w:t>
      </w:r>
      <w:r w:rsidR="00FD3C41" w:rsidRPr="00130C7A">
        <w:rPr>
          <w:lang w:val="fr-FR"/>
        </w:rPr>
        <w:t>,</w:t>
      </w:r>
      <w:r w:rsidR="00392E3A" w:rsidRPr="00130C7A">
        <w:rPr>
          <w:lang w:val="fr-FR"/>
        </w:rPr>
        <w:t xml:space="preserve"> </w:t>
      </w:r>
      <w:r w:rsidR="00703669" w:rsidRPr="00130C7A">
        <w:rPr>
          <w:lang w:val="fr-FR"/>
        </w:rPr>
        <w:t xml:space="preserve">associée </w:t>
      </w:r>
      <w:r w:rsidR="00B540F6" w:rsidRPr="00130C7A">
        <w:rPr>
          <w:lang w:val="fr-FR"/>
        </w:rPr>
        <w:t>à des</w:t>
      </w:r>
      <w:r w:rsidR="0085172D" w:rsidRPr="00130C7A">
        <w:rPr>
          <w:lang w:val="fr-FR"/>
        </w:rPr>
        <w:t xml:space="preserve"> troubles </w:t>
      </w:r>
      <w:proofErr w:type="gramStart"/>
      <w:r w:rsidR="0085172D" w:rsidRPr="00130C7A">
        <w:rPr>
          <w:lang w:val="fr-FR"/>
        </w:rPr>
        <w:t>du</w:t>
      </w:r>
      <w:r w:rsidR="00392E3A" w:rsidRPr="00130C7A">
        <w:rPr>
          <w:lang w:val="fr-FR"/>
        </w:rPr>
        <w:t xml:space="preserve"> </w:t>
      </w:r>
      <w:r w:rsidR="00BB2DA4" w:rsidRPr="00130C7A">
        <w:rPr>
          <w:lang w:val="fr-FR"/>
        </w:rPr>
        <w:t>c</w:t>
      </w:r>
      <w:r w:rsidR="00392E3A" w:rsidRPr="00130C7A">
        <w:rPr>
          <w:lang w:val="fr-FR"/>
        </w:rPr>
        <w:t>omportement</w:t>
      </w:r>
      <w:r w:rsidR="00703669" w:rsidRPr="00130C7A">
        <w:rPr>
          <w:lang w:val="fr-FR"/>
        </w:rPr>
        <w:t xml:space="preserve"> liés</w:t>
      </w:r>
      <w:proofErr w:type="gramEnd"/>
      <w:r w:rsidR="00703669" w:rsidRPr="00130C7A">
        <w:rPr>
          <w:lang w:val="fr-FR"/>
        </w:rPr>
        <w:t xml:space="preserve"> à la consommation de substances</w:t>
      </w:r>
      <w:r w:rsidR="004452B4" w:rsidRPr="00130C7A">
        <w:rPr>
          <w:lang w:val="fr-FR"/>
        </w:rPr>
        <w:t xml:space="preserve"> </w:t>
      </w:r>
      <w:r w:rsidR="00FB577D" w:rsidRPr="00130C7A">
        <w:rPr>
          <w:lang w:val="fr-FR"/>
        </w:rPr>
        <w:t xml:space="preserve">addictives </w:t>
      </w:r>
      <w:r w:rsidR="004452B4" w:rsidRPr="00130C7A">
        <w:rPr>
          <w:lang w:val="fr-FR"/>
        </w:rPr>
        <w:t>et à son état de santé fragile</w:t>
      </w:r>
      <w:r w:rsidR="00703669" w:rsidRPr="00130C7A">
        <w:rPr>
          <w:lang w:val="fr-FR"/>
        </w:rPr>
        <w:t>,</w:t>
      </w:r>
      <w:r w:rsidR="00392E3A" w:rsidRPr="00130C7A">
        <w:rPr>
          <w:lang w:val="fr-FR"/>
        </w:rPr>
        <w:t xml:space="preserve"> </w:t>
      </w:r>
      <w:r w:rsidR="004B26DA" w:rsidRPr="00130C7A">
        <w:rPr>
          <w:lang w:val="fr-FR"/>
        </w:rPr>
        <w:t>faisait</w:t>
      </w:r>
      <w:r w:rsidR="00454975" w:rsidRPr="00130C7A">
        <w:rPr>
          <w:lang w:val="fr-FR"/>
        </w:rPr>
        <w:t xml:space="preserve"> </w:t>
      </w:r>
      <w:r w:rsidR="008B2F63" w:rsidRPr="00130C7A">
        <w:rPr>
          <w:lang w:val="fr-FR"/>
        </w:rPr>
        <w:t>d</w:t>
      </w:r>
      <w:r w:rsidR="00130C7A" w:rsidRPr="00130C7A">
        <w:rPr>
          <w:lang w:val="fr-FR"/>
        </w:rPr>
        <w:t>’</w:t>
      </w:r>
      <w:r w:rsidR="008B2F63" w:rsidRPr="00130C7A">
        <w:rPr>
          <w:lang w:val="fr-FR"/>
        </w:rPr>
        <w:t>elle</w:t>
      </w:r>
      <w:r w:rsidR="00454975" w:rsidRPr="00130C7A">
        <w:rPr>
          <w:lang w:val="fr-FR"/>
        </w:rPr>
        <w:t xml:space="preserve"> un sujet </w:t>
      </w:r>
      <w:r w:rsidR="004452B4" w:rsidRPr="00130C7A">
        <w:rPr>
          <w:lang w:val="fr-FR"/>
        </w:rPr>
        <w:t>particulièrement vulnérable</w:t>
      </w:r>
      <w:r w:rsidR="00B540F6" w:rsidRPr="00130C7A">
        <w:rPr>
          <w:lang w:val="fr-FR"/>
        </w:rPr>
        <w:t>,</w:t>
      </w:r>
      <w:r w:rsidR="004452B4" w:rsidRPr="00130C7A">
        <w:rPr>
          <w:lang w:val="fr-FR"/>
        </w:rPr>
        <w:t xml:space="preserve"> </w:t>
      </w:r>
      <w:r w:rsidR="004B26DA" w:rsidRPr="00130C7A">
        <w:rPr>
          <w:lang w:val="fr-FR"/>
        </w:rPr>
        <w:t>pouvant demander</w:t>
      </w:r>
      <w:r w:rsidR="00C478D2" w:rsidRPr="00130C7A">
        <w:rPr>
          <w:lang w:val="fr-FR"/>
        </w:rPr>
        <w:t xml:space="preserve"> </w:t>
      </w:r>
      <w:r w:rsidR="00381B72" w:rsidRPr="00130C7A">
        <w:rPr>
          <w:lang w:val="fr-FR"/>
        </w:rPr>
        <w:t xml:space="preserve">de ce fait </w:t>
      </w:r>
      <w:r w:rsidR="00C478D2" w:rsidRPr="00130C7A">
        <w:rPr>
          <w:lang w:val="fr-FR"/>
        </w:rPr>
        <w:t>une surveillance accrue</w:t>
      </w:r>
      <w:r w:rsidR="0069188A" w:rsidRPr="00130C7A">
        <w:rPr>
          <w:lang w:val="fr-FR"/>
        </w:rPr>
        <w:t xml:space="preserve"> par rapport aux autres détenus</w:t>
      </w:r>
      <w:r w:rsidR="004452B4" w:rsidRPr="00130C7A">
        <w:rPr>
          <w:lang w:val="fr-FR"/>
        </w:rPr>
        <w:t>.</w:t>
      </w:r>
      <w:r w:rsidR="001B7449" w:rsidRPr="00130C7A">
        <w:rPr>
          <w:lang w:val="fr-FR"/>
        </w:rPr>
        <w:t xml:space="preserve"> </w:t>
      </w:r>
      <w:r w:rsidR="00703669" w:rsidRPr="00130C7A">
        <w:rPr>
          <w:rFonts w:ascii="Times New Roman" w:eastAsia="Times New Roman" w:hAnsi="Times New Roman" w:cs="Times New Roman"/>
          <w:lang w:val="fr-FR"/>
        </w:rPr>
        <w:t>La</w:t>
      </w:r>
      <w:r w:rsidR="00814553" w:rsidRPr="00130C7A">
        <w:rPr>
          <w:rFonts w:ascii="Times New Roman" w:eastAsia="Times New Roman" w:hAnsi="Times New Roman" w:cs="Times New Roman"/>
          <w:lang w:val="fr-FR"/>
        </w:rPr>
        <w:t xml:space="preserve"> Cour</w:t>
      </w:r>
      <w:r w:rsidR="00703669" w:rsidRPr="00130C7A">
        <w:rPr>
          <w:rFonts w:ascii="Times New Roman" w:eastAsia="Times New Roman" w:hAnsi="Times New Roman" w:cs="Times New Roman"/>
          <w:lang w:val="fr-FR"/>
        </w:rPr>
        <w:t xml:space="preserve"> considère </w:t>
      </w:r>
      <w:r w:rsidRPr="00130C7A">
        <w:rPr>
          <w:rFonts w:ascii="Times New Roman" w:eastAsia="Times New Roman" w:hAnsi="Times New Roman" w:cs="Times New Roman"/>
          <w:lang w:val="fr-FR"/>
        </w:rPr>
        <w:t xml:space="preserve">en effet </w:t>
      </w:r>
      <w:r w:rsidR="00703669" w:rsidRPr="00130C7A">
        <w:rPr>
          <w:rFonts w:ascii="Times New Roman" w:eastAsia="Times New Roman" w:hAnsi="Times New Roman" w:cs="Times New Roman"/>
          <w:lang w:val="fr-FR"/>
        </w:rPr>
        <w:t>que</w:t>
      </w:r>
      <w:r w:rsidR="004452B4" w:rsidRPr="00130C7A">
        <w:rPr>
          <w:rFonts w:ascii="Times New Roman" w:eastAsia="Times New Roman" w:hAnsi="Times New Roman" w:cs="Times New Roman"/>
          <w:lang w:val="fr-FR"/>
        </w:rPr>
        <w:t xml:space="preserve"> </w:t>
      </w:r>
      <w:r w:rsidR="00814553" w:rsidRPr="00130C7A">
        <w:rPr>
          <w:rFonts w:ascii="Times New Roman" w:eastAsia="Times New Roman" w:hAnsi="Times New Roman" w:cs="Times New Roman"/>
          <w:lang w:val="fr-FR"/>
        </w:rPr>
        <w:t>le danger dé</w:t>
      </w:r>
      <w:r w:rsidR="00EB2D73" w:rsidRPr="00130C7A">
        <w:rPr>
          <w:rFonts w:ascii="Times New Roman" w:eastAsia="Times New Roman" w:hAnsi="Times New Roman" w:cs="Times New Roman"/>
          <w:lang w:val="fr-FR"/>
        </w:rPr>
        <w:t>coul</w:t>
      </w:r>
      <w:r w:rsidR="00814553" w:rsidRPr="00130C7A">
        <w:rPr>
          <w:rFonts w:ascii="Times New Roman" w:eastAsia="Times New Roman" w:hAnsi="Times New Roman" w:cs="Times New Roman"/>
          <w:lang w:val="fr-FR"/>
        </w:rPr>
        <w:t xml:space="preserve">ant de la tendance pathologique à abuser de substances addictives </w:t>
      </w:r>
      <w:r w:rsidRPr="00130C7A">
        <w:rPr>
          <w:rFonts w:ascii="Times New Roman" w:eastAsia="Times New Roman" w:hAnsi="Times New Roman" w:cs="Times New Roman"/>
          <w:lang w:val="fr-FR"/>
        </w:rPr>
        <w:t xml:space="preserve">toxiques </w:t>
      </w:r>
      <w:r w:rsidR="00814553" w:rsidRPr="00130C7A">
        <w:rPr>
          <w:rFonts w:ascii="Times New Roman" w:eastAsia="Times New Roman" w:hAnsi="Times New Roman" w:cs="Times New Roman"/>
          <w:lang w:val="fr-FR"/>
        </w:rPr>
        <w:t xml:space="preserve">et </w:t>
      </w:r>
      <w:r w:rsidR="00703669" w:rsidRPr="00130C7A">
        <w:rPr>
          <w:rFonts w:ascii="Times New Roman" w:eastAsia="Times New Roman" w:hAnsi="Times New Roman" w:cs="Times New Roman"/>
          <w:lang w:val="fr-FR"/>
        </w:rPr>
        <w:t>potentiellement létales</w:t>
      </w:r>
      <w:r w:rsidR="008B2F63" w:rsidRPr="00130C7A">
        <w:rPr>
          <w:rFonts w:ascii="Times New Roman" w:eastAsia="Times New Roman" w:hAnsi="Times New Roman" w:cs="Times New Roman"/>
          <w:lang w:val="fr-FR"/>
        </w:rPr>
        <w:t>, tel le gaz,</w:t>
      </w:r>
      <w:r w:rsidR="00703669" w:rsidRPr="00130C7A">
        <w:rPr>
          <w:rFonts w:ascii="Times New Roman" w:eastAsia="Times New Roman" w:hAnsi="Times New Roman" w:cs="Times New Roman"/>
          <w:lang w:val="fr-FR"/>
        </w:rPr>
        <w:t xml:space="preserve"> </w:t>
      </w:r>
      <w:r w:rsidR="00FB577D" w:rsidRPr="00130C7A">
        <w:rPr>
          <w:rFonts w:ascii="Times New Roman" w:eastAsia="Times New Roman" w:hAnsi="Times New Roman" w:cs="Times New Roman"/>
          <w:lang w:val="fr-FR"/>
        </w:rPr>
        <w:t xml:space="preserve">peut être </w:t>
      </w:r>
      <w:r w:rsidR="00814553" w:rsidRPr="00130C7A">
        <w:rPr>
          <w:rFonts w:ascii="Times New Roman" w:eastAsia="Times New Roman" w:hAnsi="Times New Roman" w:cs="Times New Roman"/>
          <w:lang w:val="fr-FR"/>
        </w:rPr>
        <w:t>comparable, dans certaines circonstances, au risque</w:t>
      </w:r>
      <w:r w:rsidR="00814553" w:rsidRPr="00130C7A">
        <w:rPr>
          <w:lang w:val="fr-FR"/>
        </w:rPr>
        <w:t xml:space="preserve"> </w:t>
      </w:r>
      <w:r w:rsidR="004452B4" w:rsidRPr="00130C7A">
        <w:rPr>
          <w:rFonts w:ascii="Times New Roman" w:eastAsia="Times New Roman" w:hAnsi="Times New Roman" w:cs="Times New Roman"/>
          <w:lang w:val="fr-FR"/>
        </w:rPr>
        <w:t>d</w:t>
      </w:r>
      <w:r w:rsidR="00130C7A" w:rsidRPr="00130C7A">
        <w:rPr>
          <w:rFonts w:ascii="Times New Roman" w:eastAsia="Times New Roman" w:hAnsi="Times New Roman" w:cs="Times New Roman"/>
          <w:lang w:val="fr-FR"/>
        </w:rPr>
        <w:t>’</w:t>
      </w:r>
      <w:r w:rsidR="004452B4" w:rsidRPr="00130C7A">
        <w:rPr>
          <w:rFonts w:ascii="Times New Roman" w:eastAsia="Times New Roman" w:hAnsi="Times New Roman" w:cs="Times New Roman"/>
          <w:lang w:val="fr-FR"/>
        </w:rPr>
        <w:t>automutilation</w:t>
      </w:r>
      <w:r w:rsidR="004B26DA" w:rsidRPr="00130C7A">
        <w:rPr>
          <w:rFonts w:ascii="Times New Roman" w:eastAsia="Times New Roman" w:hAnsi="Times New Roman" w:cs="Times New Roman"/>
          <w:lang w:val="fr-FR"/>
        </w:rPr>
        <w:t xml:space="preserve"> et de suicide</w:t>
      </w:r>
      <w:r w:rsidR="00814553" w:rsidRPr="00130C7A">
        <w:rPr>
          <w:rFonts w:ascii="Times New Roman" w:eastAsia="Times New Roman" w:hAnsi="Times New Roman" w:cs="Times New Roman"/>
          <w:lang w:val="fr-FR"/>
        </w:rPr>
        <w:t>.</w:t>
      </w:r>
    </w:p>
    <w:p w:rsidR="001E0028" w:rsidRPr="00130C7A" w:rsidRDefault="00814553" w:rsidP="00130C7A">
      <w:pPr>
        <w:pStyle w:val="ECHRPara"/>
        <w:rPr>
          <w:lang w:val="fr-FR"/>
        </w:rPr>
      </w:pPr>
      <w:r w:rsidRPr="00130C7A">
        <w:rPr>
          <w:rFonts w:ascii="Times New Roman" w:eastAsia="Times New Roman" w:hAnsi="Times New Roman" w:cs="Times New Roman"/>
          <w:lang w:val="fr-FR"/>
        </w:rPr>
        <w:fldChar w:fldCharType="begin"/>
      </w:r>
      <w:r w:rsidRPr="00130C7A">
        <w:rPr>
          <w:rFonts w:ascii="Times New Roman" w:eastAsia="Times New Roman" w:hAnsi="Times New Roman" w:cs="Times New Roman"/>
          <w:lang w:val="fr-FR"/>
        </w:rPr>
        <w:instrText xml:space="preserve"> SEQ level0 \*arabic </w:instrText>
      </w:r>
      <w:r w:rsidRPr="00130C7A">
        <w:rPr>
          <w:rFonts w:ascii="Times New Roman" w:eastAsia="Times New Roman" w:hAnsi="Times New Roman" w:cs="Times New Roman"/>
          <w:lang w:val="fr-FR"/>
        </w:rPr>
        <w:fldChar w:fldCharType="separate"/>
      </w:r>
      <w:r w:rsidR="00130C7A" w:rsidRPr="00130C7A">
        <w:rPr>
          <w:rFonts w:ascii="Times New Roman" w:eastAsia="Times New Roman" w:hAnsi="Times New Roman" w:cs="Times New Roman"/>
          <w:noProof/>
          <w:lang w:val="fr-FR"/>
        </w:rPr>
        <w:t>81</w:t>
      </w:r>
      <w:r w:rsidRPr="00130C7A">
        <w:rPr>
          <w:rFonts w:ascii="Times New Roman" w:eastAsia="Times New Roman" w:hAnsi="Times New Roman" w:cs="Times New Roman"/>
          <w:lang w:val="fr-FR"/>
        </w:rPr>
        <w:fldChar w:fldCharType="end"/>
      </w:r>
      <w:r w:rsidRPr="00130C7A">
        <w:rPr>
          <w:rFonts w:ascii="Times New Roman" w:eastAsia="Times New Roman" w:hAnsi="Times New Roman" w:cs="Times New Roman"/>
          <w:lang w:val="fr-FR"/>
        </w:rPr>
        <w:t>.  </w:t>
      </w:r>
      <w:r w:rsidR="00667BA5" w:rsidRPr="00130C7A">
        <w:rPr>
          <w:lang w:val="fr-FR"/>
        </w:rPr>
        <w:t>L</w:t>
      </w:r>
      <w:r w:rsidRPr="00130C7A">
        <w:rPr>
          <w:lang w:val="fr-FR"/>
        </w:rPr>
        <w:t xml:space="preserve">a Cour doit </w:t>
      </w:r>
      <w:r w:rsidR="00667BA5" w:rsidRPr="00130C7A">
        <w:rPr>
          <w:lang w:val="fr-FR"/>
        </w:rPr>
        <w:t xml:space="preserve">donc </w:t>
      </w:r>
      <w:r w:rsidRPr="00130C7A">
        <w:rPr>
          <w:lang w:val="fr-FR"/>
        </w:rPr>
        <w:t>rechercher si les autorités savaient ou auraient dû savoir qu</w:t>
      </w:r>
      <w:r w:rsidR="00130C7A" w:rsidRPr="00130C7A">
        <w:rPr>
          <w:lang w:val="fr-FR"/>
        </w:rPr>
        <w:t>’</w:t>
      </w:r>
      <w:r w:rsidRPr="00130C7A">
        <w:rPr>
          <w:lang w:val="fr-FR"/>
        </w:rPr>
        <w:t xml:space="preserve">il y avait un risque réel et immédiat </w:t>
      </w:r>
      <w:r w:rsidR="00B540F6" w:rsidRPr="00130C7A">
        <w:rPr>
          <w:lang w:val="fr-FR"/>
        </w:rPr>
        <w:t>de voir</w:t>
      </w:r>
      <w:r w:rsidR="005945AB" w:rsidRPr="00130C7A">
        <w:rPr>
          <w:lang w:val="fr-FR"/>
        </w:rPr>
        <w:t xml:space="preserve"> </w:t>
      </w:r>
      <w:r w:rsidRPr="00130C7A">
        <w:rPr>
          <w:lang w:val="fr-FR"/>
        </w:rPr>
        <w:t>A. mett</w:t>
      </w:r>
      <w:r w:rsidR="00B540F6" w:rsidRPr="00130C7A">
        <w:rPr>
          <w:lang w:val="fr-FR"/>
        </w:rPr>
        <w:t>r</w:t>
      </w:r>
      <w:r w:rsidRPr="00130C7A">
        <w:rPr>
          <w:lang w:val="fr-FR"/>
        </w:rPr>
        <w:t xml:space="preserve">e </w:t>
      </w:r>
      <w:r w:rsidR="005954C9" w:rsidRPr="00130C7A">
        <w:rPr>
          <w:lang w:val="fr-FR"/>
        </w:rPr>
        <w:t>son intégrité</w:t>
      </w:r>
      <w:r w:rsidRPr="00130C7A">
        <w:rPr>
          <w:lang w:val="fr-FR"/>
        </w:rPr>
        <w:t xml:space="preserve"> </w:t>
      </w:r>
      <w:r w:rsidR="005954C9" w:rsidRPr="00130C7A">
        <w:rPr>
          <w:lang w:val="fr-FR"/>
        </w:rPr>
        <w:t xml:space="preserve">physique </w:t>
      </w:r>
      <w:r w:rsidR="00B540F6" w:rsidRPr="00130C7A">
        <w:rPr>
          <w:lang w:val="fr-FR"/>
        </w:rPr>
        <w:t xml:space="preserve">en danger </w:t>
      </w:r>
      <w:r w:rsidRPr="00130C7A">
        <w:rPr>
          <w:lang w:val="fr-FR"/>
        </w:rPr>
        <w:t>et, dans l</w:t>
      </w:r>
      <w:r w:rsidR="00130C7A" w:rsidRPr="00130C7A">
        <w:rPr>
          <w:lang w:val="fr-FR"/>
        </w:rPr>
        <w:t>’</w:t>
      </w:r>
      <w:r w:rsidRPr="00130C7A">
        <w:rPr>
          <w:lang w:val="fr-FR"/>
        </w:rPr>
        <w:t>affirmative, si elles ont fait tout ce que l</w:t>
      </w:r>
      <w:r w:rsidR="00130C7A" w:rsidRPr="00130C7A">
        <w:rPr>
          <w:lang w:val="fr-FR"/>
        </w:rPr>
        <w:t>’</w:t>
      </w:r>
      <w:r w:rsidRPr="00130C7A">
        <w:rPr>
          <w:lang w:val="fr-FR"/>
        </w:rPr>
        <w:t>on pouvait raisonnablement attendre d</w:t>
      </w:r>
      <w:r w:rsidR="00130C7A" w:rsidRPr="00130C7A">
        <w:rPr>
          <w:lang w:val="fr-FR"/>
        </w:rPr>
        <w:t>’</w:t>
      </w:r>
      <w:r w:rsidRPr="00130C7A">
        <w:rPr>
          <w:lang w:val="fr-FR"/>
        </w:rPr>
        <w:t>elles pour prévenir ce risque</w:t>
      </w:r>
      <w:r w:rsidR="001E0028" w:rsidRPr="00130C7A">
        <w:rPr>
          <w:lang w:val="fr-FR"/>
        </w:rPr>
        <w:t xml:space="preserve"> </w:t>
      </w:r>
      <w:r w:rsidRPr="00130C7A">
        <w:rPr>
          <w:lang w:val="fr-FR"/>
        </w:rPr>
        <w:t>(</w:t>
      </w:r>
      <w:proofErr w:type="spellStart"/>
      <w:r w:rsidRPr="00130C7A">
        <w:rPr>
          <w:i/>
          <w:lang w:val="fr-FR"/>
        </w:rPr>
        <w:t>Keenan</w:t>
      </w:r>
      <w:proofErr w:type="spellEnd"/>
      <w:r w:rsidRPr="00130C7A">
        <w:rPr>
          <w:lang w:val="fr-FR"/>
        </w:rPr>
        <w:t>, précité, § 93).</w:t>
      </w:r>
    </w:p>
    <w:p w:rsidR="001E0028" w:rsidRPr="00130C7A" w:rsidRDefault="00814553" w:rsidP="00130C7A">
      <w:pPr>
        <w:pStyle w:val="ECHRPara"/>
        <w:rPr>
          <w:rFonts w:ascii="Times New Roman" w:eastAsia="Times New Roman" w:hAnsi="Times New Roman" w:cs="Times New Roman"/>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82</w:t>
      </w:r>
      <w:r w:rsidRPr="00130C7A">
        <w:rPr>
          <w:lang w:val="fr-FR"/>
        </w:rPr>
        <w:fldChar w:fldCharType="end"/>
      </w:r>
      <w:r w:rsidRPr="00130C7A">
        <w:rPr>
          <w:lang w:val="fr-FR"/>
        </w:rPr>
        <w:t>.  </w:t>
      </w:r>
      <w:r w:rsidR="00B540F6" w:rsidRPr="00130C7A">
        <w:rPr>
          <w:lang w:val="fr-FR"/>
        </w:rPr>
        <w:t>En l</w:t>
      </w:r>
      <w:r w:rsidR="00130C7A" w:rsidRPr="00130C7A">
        <w:rPr>
          <w:lang w:val="fr-FR"/>
        </w:rPr>
        <w:t>’</w:t>
      </w:r>
      <w:r w:rsidR="00B540F6" w:rsidRPr="00130C7A">
        <w:rPr>
          <w:lang w:val="fr-FR"/>
        </w:rPr>
        <w:t xml:space="preserve">occurrence, la Cour </w:t>
      </w:r>
      <w:r w:rsidR="002458B4" w:rsidRPr="00130C7A">
        <w:rPr>
          <w:lang w:val="fr-FR"/>
        </w:rPr>
        <w:t>constate</w:t>
      </w:r>
      <w:r w:rsidR="00B540F6" w:rsidRPr="00130C7A">
        <w:rPr>
          <w:lang w:val="fr-FR"/>
        </w:rPr>
        <w:t xml:space="preserve"> que l</w:t>
      </w:r>
      <w:r w:rsidR="001B7449" w:rsidRPr="00130C7A">
        <w:rPr>
          <w:lang w:val="fr-FR"/>
        </w:rPr>
        <w:t>es</w:t>
      </w:r>
      <w:r w:rsidRPr="00130C7A">
        <w:rPr>
          <w:lang w:val="fr-FR"/>
        </w:rPr>
        <w:t xml:space="preserve"> autorités pénitentiaires connaissaient la situation d</w:t>
      </w:r>
      <w:r w:rsidR="005945AB" w:rsidRPr="00130C7A">
        <w:rPr>
          <w:lang w:val="fr-FR"/>
        </w:rPr>
        <w:t xml:space="preserve">e </w:t>
      </w:r>
      <w:r w:rsidRPr="00130C7A">
        <w:rPr>
          <w:lang w:val="fr-FR"/>
        </w:rPr>
        <w:t>A. et sa tendance pathologique à l</w:t>
      </w:r>
      <w:r w:rsidR="00130C7A" w:rsidRPr="00130C7A">
        <w:rPr>
          <w:lang w:val="fr-FR"/>
        </w:rPr>
        <w:t>’</w:t>
      </w:r>
      <w:r w:rsidRPr="00130C7A">
        <w:rPr>
          <w:lang w:val="fr-FR"/>
        </w:rPr>
        <w:t>addiction</w:t>
      </w:r>
      <w:r w:rsidR="00B540F6" w:rsidRPr="00130C7A">
        <w:rPr>
          <w:lang w:val="fr-FR"/>
        </w:rPr>
        <w:t>,</w:t>
      </w:r>
      <w:r w:rsidRPr="00130C7A">
        <w:rPr>
          <w:lang w:val="fr-FR"/>
        </w:rPr>
        <w:t xml:space="preserve"> </w:t>
      </w:r>
      <w:r w:rsidR="00B540F6" w:rsidRPr="00130C7A">
        <w:rPr>
          <w:lang w:val="fr-FR"/>
        </w:rPr>
        <w:t xml:space="preserve">en </w:t>
      </w:r>
      <w:r w:rsidRPr="00130C7A">
        <w:rPr>
          <w:lang w:val="fr-FR"/>
        </w:rPr>
        <w:t xml:space="preserve">raison de ses </w:t>
      </w:r>
      <w:r w:rsidR="00B540F6" w:rsidRPr="00130C7A">
        <w:rPr>
          <w:lang w:val="fr-FR"/>
        </w:rPr>
        <w:t>nombreuses</w:t>
      </w:r>
      <w:r w:rsidRPr="00130C7A">
        <w:rPr>
          <w:lang w:val="fr-FR"/>
        </w:rPr>
        <w:t xml:space="preserve"> incarcérations. </w:t>
      </w:r>
      <w:r w:rsidR="002458B4" w:rsidRPr="00130C7A">
        <w:rPr>
          <w:lang w:val="fr-FR"/>
        </w:rPr>
        <w:t>À</w:t>
      </w:r>
      <w:r w:rsidR="001B7449" w:rsidRPr="00130C7A">
        <w:rPr>
          <w:rFonts w:ascii="Times New Roman" w:eastAsia="Times New Roman" w:hAnsi="Times New Roman" w:cs="Times New Roman"/>
          <w:lang w:val="fr-FR"/>
        </w:rPr>
        <w:t xml:space="preserve"> cet égard</w:t>
      </w:r>
      <w:r w:rsidR="002458B4" w:rsidRPr="00130C7A">
        <w:rPr>
          <w:rFonts w:ascii="Times New Roman" w:eastAsia="Times New Roman" w:hAnsi="Times New Roman" w:cs="Times New Roman"/>
          <w:lang w:val="fr-FR"/>
        </w:rPr>
        <w:t>, il y a lieu de noter</w:t>
      </w:r>
      <w:r w:rsidR="001B7449" w:rsidRPr="00130C7A">
        <w:rPr>
          <w:rFonts w:ascii="Times New Roman" w:eastAsia="Times New Roman" w:hAnsi="Times New Roman" w:cs="Times New Roman"/>
          <w:lang w:val="fr-FR"/>
        </w:rPr>
        <w:t xml:space="preserve"> que le dossier médical de la prison de Venise </w:t>
      </w:r>
      <w:r w:rsidR="00EC4DBB" w:rsidRPr="00130C7A">
        <w:rPr>
          <w:rFonts w:ascii="Times New Roman" w:eastAsia="Times New Roman" w:hAnsi="Times New Roman" w:cs="Times New Roman"/>
          <w:lang w:val="fr-FR"/>
        </w:rPr>
        <w:t>décri</w:t>
      </w:r>
      <w:r w:rsidR="00084F69" w:rsidRPr="00130C7A">
        <w:rPr>
          <w:rFonts w:ascii="Times New Roman" w:eastAsia="Times New Roman" w:hAnsi="Times New Roman" w:cs="Times New Roman"/>
          <w:lang w:val="fr-FR"/>
        </w:rPr>
        <w:t>vai</w:t>
      </w:r>
      <w:r w:rsidR="00EC4DBB" w:rsidRPr="00130C7A">
        <w:rPr>
          <w:rFonts w:ascii="Times New Roman" w:eastAsia="Times New Roman" w:hAnsi="Times New Roman" w:cs="Times New Roman"/>
          <w:lang w:val="fr-FR"/>
        </w:rPr>
        <w:t xml:space="preserve">t A. </w:t>
      </w:r>
      <w:r w:rsidR="001B7449" w:rsidRPr="00130C7A">
        <w:rPr>
          <w:rFonts w:ascii="Times New Roman" w:eastAsia="Times New Roman" w:hAnsi="Times New Roman" w:cs="Times New Roman"/>
          <w:lang w:val="fr-FR"/>
        </w:rPr>
        <w:t xml:space="preserve">comme étant </w:t>
      </w:r>
      <w:r w:rsidR="002458B4" w:rsidRPr="00130C7A">
        <w:rPr>
          <w:rFonts w:ascii="Times New Roman" w:eastAsia="Times New Roman" w:hAnsi="Times New Roman" w:cs="Times New Roman"/>
          <w:lang w:val="fr-FR"/>
        </w:rPr>
        <w:t>en</w:t>
      </w:r>
      <w:r w:rsidR="006A2935" w:rsidRPr="00130C7A">
        <w:rPr>
          <w:rFonts w:ascii="Times New Roman" w:eastAsia="Times New Roman" w:hAnsi="Times New Roman" w:cs="Times New Roman"/>
          <w:lang w:val="fr-FR"/>
        </w:rPr>
        <w:t xml:space="preserve"> besoin constant</w:t>
      </w:r>
      <w:r w:rsidR="00317A34" w:rsidRPr="00130C7A">
        <w:rPr>
          <w:rFonts w:ascii="Times New Roman" w:eastAsia="Times New Roman" w:hAnsi="Times New Roman" w:cs="Times New Roman"/>
          <w:lang w:val="fr-FR"/>
        </w:rPr>
        <w:t xml:space="preserve"> de</w:t>
      </w:r>
      <w:r w:rsidR="00EC4DBB" w:rsidRPr="00130C7A">
        <w:rPr>
          <w:rFonts w:ascii="Times New Roman" w:eastAsia="Times New Roman" w:hAnsi="Times New Roman" w:cs="Times New Roman"/>
          <w:lang w:val="fr-FR"/>
        </w:rPr>
        <w:t xml:space="preserve"> substances psychoacti</w:t>
      </w:r>
      <w:r w:rsidR="00641D46" w:rsidRPr="00130C7A">
        <w:rPr>
          <w:rFonts w:ascii="Times New Roman" w:eastAsia="Times New Roman" w:hAnsi="Times New Roman" w:cs="Times New Roman"/>
          <w:lang w:val="fr-FR"/>
        </w:rPr>
        <w:t>ves</w:t>
      </w:r>
      <w:r w:rsidR="001355E4" w:rsidRPr="00130C7A">
        <w:rPr>
          <w:rFonts w:ascii="Times New Roman" w:eastAsia="Times New Roman" w:hAnsi="Times New Roman" w:cs="Times New Roman"/>
          <w:lang w:val="fr-FR"/>
        </w:rPr>
        <w:t>,</w:t>
      </w:r>
      <w:r w:rsidR="007F25E9" w:rsidRPr="00130C7A">
        <w:rPr>
          <w:rFonts w:ascii="Times New Roman" w:eastAsia="Times New Roman" w:hAnsi="Times New Roman" w:cs="Times New Roman"/>
          <w:lang w:val="fr-FR"/>
        </w:rPr>
        <w:t xml:space="preserve"> malgré le traitement de désintoxication qui lui était administré</w:t>
      </w:r>
      <w:r w:rsidR="00641D46" w:rsidRPr="00130C7A">
        <w:rPr>
          <w:rFonts w:ascii="Times New Roman" w:eastAsia="Times New Roman" w:hAnsi="Times New Roman" w:cs="Times New Roman"/>
          <w:lang w:val="fr-FR"/>
        </w:rPr>
        <w:t xml:space="preserve">. </w:t>
      </w:r>
      <w:r w:rsidR="002458B4" w:rsidRPr="00130C7A">
        <w:rPr>
          <w:rFonts w:ascii="Times New Roman" w:eastAsia="Times New Roman" w:hAnsi="Times New Roman" w:cs="Times New Roman"/>
          <w:lang w:val="fr-FR"/>
        </w:rPr>
        <w:t>Il y a aussi lieu de relever que</w:t>
      </w:r>
      <w:r w:rsidR="00641D46" w:rsidRPr="00130C7A">
        <w:rPr>
          <w:rFonts w:ascii="Times New Roman" w:eastAsia="Times New Roman" w:hAnsi="Times New Roman" w:cs="Times New Roman"/>
          <w:lang w:val="fr-FR"/>
        </w:rPr>
        <w:t xml:space="preserve"> </w:t>
      </w:r>
      <w:r w:rsidR="002458B4" w:rsidRPr="00130C7A">
        <w:rPr>
          <w:rFonts w:ascii="Times New Roman" w:eastAsia="Times New Roman" w:hAnsi="Times New Roman" w:cs="Times New Roman"/>
          <w:lang w:val="fr-FR"/>
        </w:rPr>
        <w:t>le</w:t>
      </w:r>
      <w:r w:rsidR="00641D46" w:rsidRPr="00130C7A">
        <w:rPr>
          <w:rFonts w:ascii="Times New Roman" w:eastAsia="Times New Roman" w:hAnsi="Times New Roman" w:cs="Times New Roman"/>
          <w:lang w:val="fr-FR"/>
        </w:rPr>
        <w:t xml:space="preserve"> comportement</w:t>
      </w:r>
      <w:r w:rsidR="0016566A" w:rsidRPr="00130C7A">
        <w:rPr>
          <w:rFonts w:ascii="Times New Roman" w:eastAsia="Times New Roman" w:hAnsi="Times New Roman" w:cs="Times New Roman"/>
          <w:lang w:val="fr-FR"/>
        </w:rPr>
        <w:t xml:space="preserve"> dangereux</w:t>
      </w:r>
      <w:r w:rsidR="00641D46" w:rsidRPr="00130C7A">
        <w:rPr>
          <w:rFonts w:ascii="Times New Roman" w:eastAsia="Times New Roman" w:hAnsi="Times New Roman" w:cs="Times New Roman"/>
          <w:lang w:val="fr-FR"/>
        </w:rPr>
        <w:t xml:space="preserve"> </w:t>
      </w:r>
      <w:r w:rsidR="002458B4" w:rsidRPr="00130C7A">
        <w:rPr>
          <w:rFonts w:ascii="Times New Roman" w:eastAsia="Times New Roman" w:hAnsi="Times New Roman" w:cs="Times New Roman"/>
          <w:lang w:val="fr-FR"/>
        </w:rPr>
        <w:t xml:space="preserve">de la victime, </w:t>
      </w:r>
      <w:r w:rsidR="00A14B75" w:rsidRPr="00130C7A">
        <w:rPr>
          <w:rFonts w:ascii="Times New Roman" w:eastAsia="Times New Roman" w:hAnsi="Times New Roman" w:cs="Times New Roman"/>
          <w:lang w:val="fr-FR"/>
        </w:rPr>
        <w:t xml:space="preserve">lié à la consommation de substances </w:t>
      </w:r>
      <w:r w:rsidR="00B539F4" w:rsidRPr="00130C7A">
        <w:rPr>
          <w:rFonts w:ascii="Times New Roman" w:eastAsia="Times New Roman" w:hAnsi="Times New Roman" w:cs="Times New Roman"/>
          <w:lang w:val="fr-FR"/>
        </w:rPr>
        <w:t>addictives</w:t>
      </w:r>
      <w:r w:rsidR="002458B4" w:rsidRPr="00130C7A">
        <w:rPr>
          <w:rFonts w:ascii="Times New Roman" w:eastAsia="Times New Roman" w:hAnsi="Times New Roman" w:cs="Times New Roman"/>
          <w:lang w:val="fr-FR"/>
        </w:rPr>
        <w:t>,</w:t>
      </w:r>
      <w:r w:rsidR="006A2935" w:rsidRPr="00130C7A">
        <w:rPr>
          <w:rFonts w:ascii="Times New Roman" w:eastAsia="Times New Roman" w:hAnsi="Times New Roman" w:cs="Times New Roman"/>
          <w:lang w:val="fr-FR"/>
        </w:rPr>
        <w:t xml:space="preserve"> </w:t>
      </w:r>
      <w:r w:rsidR="002458B4" w:rsidRPr="00130C7A">
        <w:rPr>
          <w:rFonts w:ascii="Times New Roman" w:eastAsia="Times New Roman" w:hAnsi="Times New Roman" w:cs="Times New Roman"/>
          <w:lang w:val="fr-FR"/>
        </w:rPr>
        <w:t>avait été</w:t>
      </w:r>
      <w:r w:rsidR="00CB1A93" w:rsidRPr="00130C7A">
        <w:rPr>
          <w:rFonts w:ascii="Times New Roman" w:eastAsia="Times New Roman" w:hAnsi="Times New Roman" w:cs="Times New Roman"/>
          <w:lang w:val="fr-FR"/>
        </w:rPr>
        <w:t xml:space="preserve"> sanctionné</w:t>
      </w:r>
      <w:r w:rsidR="00983DBD" w:rsidRPr="00130C7A">
        <w:rPr>
          <w:rFonts w:ascii="Times New Roman" w:eastAsia="Times New Roman" w:hAnsi="Times New Roman" w:cs="Times New Roman"/>
          <w:lang w:val="fr-FR"/>
        </w:rPr>
        <w:t xml:space="preserve"> </w:t>
      </w:r>
      <w:r w:rsidR="00195930" w:rsidRPr="00130C7A">
        <w:rPr>
          <w:rFonts w:ascii="Times New Roman" w:eastAsia="Times New Roman" w:hAnsi="Times New Roman" w:cs="Times New Roman"/>
          <w:lang w:val="fr-FR"/>
        </w:rPr>
        <w:t>par les</w:t>
      </w:r>
      <w:r w:rsidR="00983DBD" w:rsidRPr="00130C7A">
        <w:rPr>
          <w:rFonts w:ascii="Times New Roman" w:eastAsia="Times New Roman" w:hAnsi="Times New Roman" w:cs="Times New Roman"/>
          <w:lang w:val="fr-FR"/>
        </w:rPr>
        <w:t xml:space="preserve"> </w:t>
      </w:r>
      <w:r w:rsidR="00A068FA" w:rsidRPr="00130C7A">
        <w:rPr>
          <w:rFonts w:ascii="Times New Roman" w:eastAsia="Times New Roman" w:hAnsi="Times New Roman" w:cs="Times New Roman"/>
          <w:lang w:val="fr-FR"/>
        </w:rPr>
        <w:t>autorités pénitentiaires à maintes reprises</w:t>
      </w:r>
      <w:r w:rsidR="003859FC" w:rsidRPr="00130C7A">
        <w:rPr>
          <w:rFonts w:ascii="Times New Roman" w:eastAsia="Times New Roman" w:hAnsi="Times New Roman" w:cs="Times New Roman"/>
          <w:lang w:val="fr-FR"/>
        </w:rPr>
        <w:t xml:space="preserve"> (paragraphes 8 et 9</w:t>
      </w:r>
      <w:r w:rsidR="0080743D" w:rsidRPr="00130C7A">
        <w:rPr>
          <w:rFonts w:ascii="Times New Roman" w:eastAsia="Times New Roman" w:hAnsi="Times New Roman" w:cs="Times New Roman"/>
          <w:lang w:val="fr-FR"/>
        </w:rPr>
        <w:t xml:space="preserve"> ci-dessus)</w:t>
      </w:r>
      <w:r w:rsidR="00A068FA" w:rsidRPr="00130C7A">
        <w:rPr>
          <w:rFonts w:ascii="Times New Roman" w:eastAsia="Times New Roman" w:hAnsi="Times New Roman" w:cs="Times New Roman"/>
          <w:lang w:val="fr-FR"/>
        </w:rPr>
        <w:t>.</w:t>
      </w:r>
    </w:p>
    <w:p w:rsidR="0016566A" w:rsidRPr="00130C7A" w:rsidRDefault="001B744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83</w:t>
      </w:r>
      <w:r w:rsidRPr="00130C7A">
        <w:rPr>
          <w:lang w:val="fr-FR"/>
        </w:rPr>
        <w:fldChar w:fldCharType="end"/>
      </w:r>
      <w:r w:rsidRPr="00130C7A">
        <w:rPr>
          <w:lang w:val="fr-FR"/>
        </w:rPr>
        <w:t>.  </w:t>
      </w:r>
      <w:r w:rsidR="002458B4" w:rsidRPr="00130C7A">
        <w:rPr>
          <w:lang w:val="fr-FR"/>
        </w:rPr>
        <w:t>Cela étant</w:t>
      </w:r>
      <w:r w:rsidRPr="00130C7A">
        <w:rPr>
          <w:lang w:val="fr-FR"/>
        </w:rPr>
        <w:t xml:space="preserve">, </w:t>
      </w:r>
      <w:r w:rsidR="00381B72" w:rsidRPr="00130C7A">
        <w:rPr>
          <w:lang w:val="fr-FR"/>
        </w:rPr>
        <w:t>la Cour observe</w:t>
      </w:r>
      <w:r w:rsidR="0016566A" w:rsidRPr="00130C7A">
        <w:rPr>
          <w:lang w:val="fr-FR"/>
        </w:rPr>
        <w:t xml:space="preserve"> </w:t>
      </w:r>
      <w:r w:rsidR="00381B72" w:rsidRPr="00130C7A">
        <w:rPr>
          <w:lang w:val="fr-FR"/>
        </w:rPr>
        <w:t xml:space="preserve">que </w:t>
      </w:r>
      <w:r w:rsidR="00D95FBD" w:rsidRPr="00130C7A">
        <w:rPr>
          <w:lang w:val="fr-FR"/>
        </w:rPr>
        <w:t xml:space="preserve">le neveu du requérant </w:t>
      </w:r>
      <w:r w:rsidR="00407863" w:rsidRPr="00130C7A">
        <w:rPr>
          <w:lang w:val="fr-FR"/>
        </w:rPr>
        <w:t>était</w:t>
      </w:r>
      <w:r w:rsidR="00D95FBD" w:rsidRPr="00130C7A">
        <w:rPr>
          <w:lang w:val="fr-FR"/>
        </w:rPr>
        <w:t xml:space="preserve"> l</w:t>
      </w:r>
      <w:r w:rsidR="00130C7A" w:rsidRPr="00130C7A">
        <w:rPr>
          <w:lang w:val="fr-FR"/>
        </w:rPr>
        <w:t>’</w:t>
      </w:r>
      <w:r w:rsidR="00D95FBD" w:rsidRPr="00130C7A">
        <w:rPr>
          <w:lang w:val="fr-FR"/>
        </w:rPr>
        <w:t>objet d</w:t>
      </w:r>
      <w:r w:rsidR="00130C7A" w:rsidRPr="00130C7A">
        <w:rPr>
          <w:lang w:val="fr-FR"/>
        </w:rPr>
        <w:t>’</w:t>
      </w:r>
      <w:r w:rsidR="00D95FBD" w:rsidRPr="00130C7A">
        <w:rPr>
          <w:lang w:val="fr-FR"/>
        </w:rPr>
        <w:t xml:space="preserve">un suivi constant de la part des </w:t>
      </w:r>
      <w:r w:rsidR="0069188A" w:rsidRPr="00130C7A">
        <w:rPr>
          <w:lang w:val="fr-FR"/>
        </w:rPr>
        <w:t>médecins de la prison de Venise</w:t>
      </w:r>
      <w:r w:rsidR="00D95FBD" w:rsidRPr="00130C7A">
        <w:rPr>
          <w:lang w:val="fr-FR"/>
        </w:rPr>
        <w:t>. Ceux-ci,</w:t>
      </w:r>
      <w:r w:rsidR="00381B72" w:rsidRPr="00130C7A">
        <w:rPr>
          <w:lang w:val="fr-FR"/>
        </w:rPr>
        <w:t xml:space="preserve"> </w:t>
      </w:r>
      <w:r w:rsidR="0016566A" w:rsidRPr="00130C7A">
        <w:rPr>
          <w:lang w:val="fr-FR"/>
        </w:rPr>
        <w:t xml:space="preserve">dès le début de la détention, </w:t>
      </w:r>
      <w:r w:rsidR="00407863" w:rsidRPr="00130C7A">
        <w:rPr>
          <w:lang w:val="fr-FR"/>
        </w:rPr>
        <w:t>avaient</w:t>
      </w:r>
      <w:r w:rsidR="002458B4" w:rsidRPr="00130C7A">
        <w:rPr>
          <w:lang w:val="fr-FR"/>
        </w:rPr>
        <w:t xml:space="preserve"> </w:t>
      </w:r>
      <w:r w:rsidR="0016566A" w:rsidRPr="00130C7A">
        <w:rPr>
          <w:lang w:val="fr-FR"/>
        </w:rPr>
        <w:t>mi</w:t>
      </w:r>
      <w:r w:rsidR="002458B4" w:rsidRPr="00130C7A">
        <w:rPr>
          <w:lang w:val="fr-FR"/>
        </w:rPr>
        <w:t>s</w:t>
      </w:r>
      <w:r w:rsidR="00381B72" w:rsidRPr="00130C7A">
        <w:rPr>
          <w:lang w:val="fr-FR"/>
        </w:rPr>
        <w:t xml:space="preserve"> en place des traitements </w:t>
      </w:r>
      <w:r w:rsidR="0069188A" w:rsidRPr="00130C7A">
        <w:rPr>
          <w:lang w:val="fr-FR"/>
        </w:rPr>
        <w:t>de désintoxication à la fois pharmacologique et psychologique</w:t>
      </w:r>
      <w:r w:rsidR="0016566A" w:rsidRPr="00130C7A">
        <w:rPr>
          <w:lang w:val="fr-FR"/>
        </w:rPr>
        <w:t>. Des</w:t>
      </w:r>
      <w:r w:rsidR="005954C9" w:rsidRPr="00130C7A">
        <w:rPr>
          <w:lang w:val="fr-FR"/>
        </w:rPr>
        <w:t xml:space="preserve"> traitements médicamenteux </w:t>
      </w:r>
      <w:r w:rsidR="005954C9" w:rsidRPr="00130C7A">
        <w:rPr>
          <w:lang w:val="fr-FR"/>
        </w:rPr>
        <w:lastRenderedPageBreak/>
        <w:t xml:space="preserve">étaient </w:t>
      </w:r>
      <w:r w:rsidR="00317A34" w:rsidRPr="00130C7A">
        <w:rPr>
          <w:lang w:val="fr-FR"/>
        </w:rPr>
        <w:t>de plus</w:t>
      </w:r>
      <w:r w:rsidR="0016566A" w:rsidRPr="00130C7A">
        <w:rPr>
          <w:lang w:val="fr-FR"/>
        </w:rPr>
        <w:t xml:space="preserve"> </w:t>
      </w:r>
      <w:r w:rsidR="005954C9" w:rsidRPr="00130C7A">
        <w:rPr>
          <w:lang w:val="fr-FR"/>
        </w:rPr>
        <w:t>administrés</w:t>
      </w:r>
      <w:r w:rsidR="0016566A" w:rsidRPr="00130C7A">
        <w:rPr>
          <w:lang w:val="fr-FR"/>
        </w:rPr>
        <w:t xml:space="preserve"> </w:t>
      </w:r>
      <w:r w:rsidR="002458B4" w:rsidRPr="00130C7A">
        <w:rPr>
          <w:lang w:val="fr-FR"/>
        </w:rPr>
        <w:t xml:space="preserve">à A. </w:t>
      </w:r>
      <w:r w:rsidR="00B56476" w:rsidRPr="00130C7A">
        <w:rPr>
          <w:lang w:val="fr-FR"/>
        </w:rPr>
        <w:t>dans le but de</w:t>
      </w:r>
      <w:r w:rsidR="005954C9" w:rsidRPr="00130C7A">
        <w:rPr>
          <w:lang w:val="fr-FR"/>
        </w:rPr>
        <w:t xml:space="preserve"> soigner</w:t>
      </w:r>
      <w:r w:rsidR="00EC4DBB" w:rsidRPr="00130C7A">
        <w:rPr>
          <w:lang w:val="fr-FR"/>
        </w:rPr>
        <w:t xml:space="preserve"> les pathologies </w:t>
      </w:r>
      <w:r w:rsidR="0016566A" w:rsidRPr="00130C7A">
        <w:rPr>
          <w:lang w:val="fr-FR"/>
        </w:rPr>
        <w:t xml:space="preserve">dont </w:t>
      </w:r>
      <w:r w:rsidR="002458B4" w:rsidRPr="00130C7A">
        <w:rPr>
          <w:lang w:val="fr-FR"/>
        </w:rPr>
        <w:t xml:space="preserve">celui-ci </w:t>
      </w:r>
      <w:r w:rsidR="008B3DB1" w:rsidRPr="00130C7A">
        <w:rPr>
          <w:lang w:val="fr-FR"/>
        </w:rPr>
        <w:t>était atteint</w:t>
      </w:r>
      <w:r w:rsidR="0016566A" w:rsidRPr="00130C7A">
        <w:rPr>
          <w:lang w:val="fr-FR"/>
        </w:rPr>
        <w:t>.</w:t>
      </w:r>
    </w:p>
    <w:p w:rsidR="0049212A" w:rsidRPr="00130C7A" w:rsidRDefault="00667BA5"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84</w:t>
      </w:r>
      <w:r w:rsidRPr="00130C7A">
        <w:rPr>
          <w:lang w:val="fr-FR"/>
        </w:rPr>
        <w:fldChar w:fldCharType="end"/>
      </w:r>
      <w:r w:rsidRPr="00130C7A">
        <w:rPr>
          <w:lang w:val="fr-FR"/>
        </w:rPr>
        <w:t>.  </w:t>
      </w:r>
      <w:r w:rsidR="008B3DB1" w:rsidRPr="00130C7A">
        <w:rPr>
          <w:lang w:val="fr-FR"/>
        </w:rPr>
        <w:t>Concernant</w:t>
      </w:r>
      <w:r w:rsidR="000C298A" w:rsidRPr="00130C7A">
        <w:rPr>
          <w:lang w:val="fr-FR"/>
        </w:rPr>
        <w:t xml:space="preserve"> en particulier</w:t>
      </w:r>
      <w:r w:rsidR="008B3DB1" w:rsidRPr="00130C7A">
        <w:rPr>
          <w:lang w:val="fr-FR"/>
        </w:rPr>
        <w:t xml:space="preserve"> la </w:t>
      </w:r>
      <w:r w:rsidR="0049212A" w:rsidRPr="00130C7A">
        <w:rPr>
          <w:lang w:val="fr-FR"/>
        </w:rPr>
        <w:t xml:space="preserve">fibrose myocardique </w:t>
      </w:r>
      <w:r w:rsidR="008B3DB1" w:rsidRPr="00130C7A">
        <w:rPr>
          <w:lang w:val="fr-FR"/>
        </w:rPr>
        <w:t>qui avait vraisemblablement entra</w:t>
      </w:r>
      <w:r w:rsidR="002458B4" w:rsidRPr="00130C7A">
        <w:rPr>
          <w:lang w:val="fr-FR"/>
        </w:rPr>
        <w:t>î</w:t>
      </w:r>
      <w:r w:rsidR="008B3DB1" w:rsidRPr="00130C7A">
        <w:rPr>
          <w:lang w:val="fr-FR"/>
        </w:rPr>
        <w:t>né l</w:t>
      </w:r>
      <w:r w:rsidR="00130C7A" w:rsidRPr="00130C7A">
        <w:rPr>
          <w:lang w:val="fr-FR"/>
        </w:rPr>
        <w:t>’</w:t>
      </w:r>
      <w:r w:rsidR="008B3DB1" w:rsidRPr="00130C7A">
        <w:rPr>
          <w:lang w:val="fr-FR"/>
        </w:rPr>
        <w:t>arrêt cardiaque d</w:t>
      </w:r>
      <w:r w:rsidR="005945AB" w:rsidRPr="00130C7A">
        <w:rPr>
          <w:lang w:val="fr-FR"/>
        </w:rPr>
        <w:t xml:space="preserve">e </w:t>
      </w:r>
      <w:r w:rsidR="008B3DB1" w:rsidRPr="00130C7A">
        <w:rPr>
          <w:lang w:val="fr-FR"/>
        </w:rPr>
        <w:t xml:space="preserve">A., celle-ci </w:t>
      </w:r>
      <w:r w:rsidR="002458B4" w:rsidRPr="00130C7A">
        <w:rPr>
          <w:lang w:val="fr-FR"/>
        </w:rPr>
        <w:t>avait été</w:t>
      </w:r>
      <w:r w:rsidR="008B3DB1" w:rsidRPr="00130C7A">
        <w:rPr>
          <w:lang w:val="fr-FR"/>
        </w:rPr>
        <w:t xml:space="preserve"> </w:t>
      </w:r>
      <w:r w:rsidR="0049212A" w:rsidRPr="00130C7A">
        <w:rPr>
          <w:lang w:val="fr-FR"/>
        </w:rPr>
        <w:t>diagnostiquée</w:t>
      </w:r>
      <w:r w:rsidR="008B3DB1" w:rsidRPr="00130C7A">
        <w:rPr>
          <w:lang w:val="fr-FR"/>
        </w:rPr>
        <w:t xml:space="preserve"> </w:t>
      </w:r>
      <w:r w:rsidR="0049212A" w:rsidRPr="00130C7A">
        <w:rPr>
          <w:lang w:val="fr-FR"/>
        </w:rPr>
        <w:t>pour la première fois</w:t>
      </w:r>
      <w:r w:rsidR="008B3DB1" w:rsidRPr="00130C7A">
        <w:rPr>
          <w:lang w:val="fr-FR"/>
        </w:rPr>
        <w:t xml:space="preserve"> lors de l</w:t>
      </w:r>
      <w:r w:rsidR="00130C7A" w:rsidRPr="00130C7A">
        <w:rPr>
          <w:lang w:val="fr-FR"/>
        </w:rPr>
        <w:t>’</w:t>
      </w:r>
      <w:r w:rsidR="008B3DB1" w:rsidRPr="00130C7A">
        <w:rPr>
          <w:lang w:val="fr-FR"/>
        </w:rPr>
        <w:t xml:space="preserve">expertise du </w:t>
      </w:r>
      <w:r w:rsidR="0049212A" w:rsidRPr="00130C7A">
        <w:rPr>
          <w:lang w:val="fr-FR"/>
        </w:rPr>
        <w:t xml:space="preserve">11 septembre 2007, et était donc </w:t>
      </w:r>
      <w:r w:rsidR="00DF0362" w:rsidRPr="00130C7A">
        <w:rPr>
          <w:lang w:val="fr-FR"/>
        </w:rPr>
        <w:t>i</w:t>
      </w:r>
      <w:r w:rsidR="0049212A" w:rsidRPr="00130C7A">
        <w:rPr>
          <w:lang w:val="fr-FR"/>
        </w:rPr>
        <w:t xml:space="preserve">nconnue </w:t>
      </w:r>
      <w:r w:rsidR="00DF0362" w:rsidRPr="00130C7A">
        <w:rPr>
          <w:lang w:val="fr-FR"/>
        </w:rPr>
        <w:t>des autorités</w:t>
      </w:r>
      <w:r w:rsidR="00674347" w:rsidRPr="00130C7A">
        <w:rPr>
          <w:lang w:val="fr-FR"/>
        </w:rPr>
        <w:t xml:space="preserve"> avant le décès</w:t>
      </w:r>
      <w:r w:rsidR="00DF0362" w:rsidRPr="00130C7A">
        <w:rPr>
          <w:lang w:val="fr-FR"/>
        </w:rPr>
        <w:t xml:space="preserve">. </w:t>
      </w:r>
      <w:r w:rsidR="0049212A" w:rsidRPr="00130C7A">
        <w:rPr>
          <w:lang w:val="fr-FR"/>
        </w:rPr>
        <w:t xml:space="preserve">On ne saurait donc considérer que </w:t>
      </w:r>
      <w:r w:rsidR="00DF0362" w:rsidRPr="00130C7A">
        <w:rPr>
          <w:lang w:val="fr-FR"/>
        </w:rPr>
        <w:t>ces dernières</w:t>
      </w:r>
      <w:r w:rsidR="0049212A" w:rsidRPr="00130C7A">
        <w:rPr>
          <w:lang w:val="fr-FR"/>
        </w:rPr>
        <w:t xml:space="preserve"> disposaient d</w:t>
      </w:r>
      <w:r w:rsidR="00130C7A" w:rsidRPr="00130C7A">
        <w:rPr>
          <w:lang w:val="fr-FR"/>
        </w:rPr>
        <w:t>’</w:t>
      </w:r>
      <w:r w:rsidR="0049212A" w:rsidRPr="00130C7A">
        <w:rPr>
          <w:lang w:val="fr-FR"/>
        </w:rPr>
        <w:t>éléments pouvant les amener à croire qu</w:t>
      </w:r>
      <w:r w:rsidR="005945AB" w:rsidRPr="00130C7A">
        <w:rPr>
          <w:lang w:val="fr-FR"/>
        </w:rPr>
        <w:t xml:space="preserve">e </w:t>
      </w:r>
      <w:r w:rsidR="0049212A" w:rsidRPr="00130C7A">
        <w:rPr>
          <w:lang w:val="fr-FR"/>
        </w:rPr>
        <w:t>A. courait, par rapport à tout autre détenu toxicomane, un risque potentiellement plus élevé de subir des conséquences mortelles de l</w:t>
      </w:r>
      <w:r w:rsidR="00130C7A" w:rsidRPr="00130C7A">
        <w:rPr>
          <w:lang w:val="fr-FR"/>
        </w:rPr>
        <w:t>’</w:t>
      </w:r>
      <w:r w:rsidR="0049212A" w:rsidRPr="00130C7A">
        <w:rPr>
          <w:lang w:val="fr-FR"/>
        </w:rPr>
        <w:t>usage de drogue</w:t>
      </w:r>
      <w:r w:rsidR="00BE0A7E" w:rsidRPr="00130C7A">
        <w:rPr>
          <w:lang w:val="fr-FR"/>
        </w:rPr>
        <w:t>s</w:t>
      </w:r>
      <w:r w:rsidR="0049212A" w:rsidRPr="00130C7A">
        <w:rPr>
          <w:lang w:val="fr-FR"/>
        </w:rPr>
        <w:t xml:space="preserve"> et d</w:t>
      </w:r>
      <w:r w:rsidR="00130C7A" w:rsidRPr="00130C7A">
        <w:rPr>
          <w:lang w:val="fr-FR"/>
        </w:rPr>
        <w:t>’</w:t>
      </w:r>
      <w:r w:rsidR="0049212A" w:rsidRPr="00130C7A">
        <w:rPr>
          <w:lang w:val="fr-FR"/>
        </w:rPr>
        <w:t>autres substances (</w:t>
      </w:r>
      <w:r w:rsidR="0035652B" w:rsidRPr="00130C7A">
        <w:rPr>
          <w:lang w:val="fr-FR"/>
        </w:rPr>
        <w:t xml:space="preserve">voir, </w:t>
      </w:r>
      <w:r w:rsidR="0049212A" w:rsidRPr="00130C7A">
        <w:rPr>
          <w:i/>
          <w:lang w:val="fr-FR"/>
        </w:rPr>
        <w:t>mutatis mutandis</w:t>
      </w:r>
      <w:r w:rsidR="0049212A" w:rsidRPr="00130C7A">
        <w:rPr>
          <w:lang w:val="fr-FR"/>
        </w:rPr>
        <w:t xml:space="preserve">, </w:t>
      </w:r>
      <w:proofErr w:type="spellStart"/>
      <w:r w:rsidR="0049212A" w:rsidRPr="00130C7A">
        <w:rPr>
          <w:i/>
          <w:lang w:val="fr-FR"/>
        </w:rPr>
        <w:t>Marro</w:t>
      </w:r>
      <w:proofErr w:type="spellEnd"/>
      <w:r w:rsidR="0049212A" w:rsidRPr="00130C7A">
        <w:rPr>
          <w:lang w:val="fr-FR"/>
        </w:rPr>
        <w:t xml:space="preserve">, </w:t>
      </w:r>
      <w:r w:rsidR="0035652B" w:rsidRPr="00130C7A">
        <w:rPr>
          <w:lang w:val="fr-FR"/>
        </w:rPr>
        <w:t xml:space="preserve">décision </w:t>
      </w:r>
      <w:r w:rsidR="0049212A" w:rsidRPr="00130C7A">
        <w:rPr>
          <w:lang w:val="fr-FR"/>
        </w:rPr>
        <w:t>précité</w:t>
      </w:r>
      <w:r w:rsidR="0035652B" w:rsidRPr="00130C7A">
        <w:rPr>
          <w:lang w:val="fr-FR"/>
        </w:rPr>
        <w:t>e</w:t>
      </w:r>
      <w:r w:rsidR="0049212A" w:rsidRPr="00130C7A">
        <w:rPr>
          <w:lang w:val="fr-FR"/>
        </w:rPr>
        <w:t>, §§</w:t>
      </w:r>
      <w:r w:rsidR="0035652B" w:rsidRPr="00130C7A">
        <w:rPr>
          <w:lang w:val="fr-FR"/>
        </w:rPr>
        <w:t> </w:t>
      </w:r>
      <w:r w:rsidR="0049212A" w:rsidRPr="00130C7A">
        <w:rPr>
          <w:lang w:val="fr-FR"/>
        </w:rPr>
        <w:t>43</w:t>
      </w:r>
      <w:r w:rsidR="0035652B" w:rsidRPr="00130C7A">
        <w:rPr>
          <w:lang w:val="fr-FR"/>
        </w:rPr>
        <w:noBreakHyphen/>
      </w:r>
      <w:r w:rsidR="0049212A" w:rsidRPr="00130C7A">
        <w:rPr>
          <w:lang w:val="fr-FR"/>
        </w:rPr>
        <w:t>44).</w:t>
      </w:r>
    </w:p>
    <w:p w:rsidR="001E0028" w:rsidRPr="00130C7A" w:rsidRDefault="009823A4" w:rsidP="00130C7A">
      <w:pPr>
        <w:pStyle w:val="ECHRPara"/>
        <w:rPr>
          <w:rFonts w:ascii="Times New Roman" w:eastAsia="Times New Roman" w:hAnsi="Times New Roman" w:cs="Times New Roman"/>
          <w:lang w:val="fr-FR"/>
        </w:rPr>
      </w:pPr>
      <w:r w:rsidRPr="00130C7A">
        <w:rPr>
          <w:rFonts w:ascii="Times New Roman" w:eastAsia="Times New Roman" w:hAnsi="Times New Roman" w:cs="Times New Roman"/>
          <w:lang w:val="fr-FR"/>
        </w:rPr>
        <w:fldChar w:fldCharType="begin"/>
      </w:r>
      <w:r w:rsidRPr="00130C7A">
        <w:rPr>
          <w:rFonts w:ascii="Times New Roman" w:eastAsia="Times New Roman" w:hAnsi="Times New Roman" w:cs="Times New Roman"/>
          <w:lang w:val="fr-FR"/>
        </w:rPr>
        <w:instrText xml:space="preserve"> SEQ level0 \*arabic </w:instrText>
      </w:r>
      <w:r w:rsidRPr="00130C7A">
        <w:rPr>
          <w:rFonts w:ascii="Times New Roman" w:eastAsia="Times New Roman" w:hAnsi="Times New Roman" w:cs="Times New Roman"/>
          <w:lang w:val="fr-FR"/>
        </w:rPr>
        <w:fldChar w:fldCharType="separate"/>
      </w:r>
      <w:r w:rsidR="00130C7A" w:rsidRPr="00130C7A">
        <w:rPr>
          <w:rFonts w:ascii="Times New Roman" w:eastAsia="Times New Roman" w:hAnsi="Times New Roman" w:cs="Times New Roman"/>
          <w:noProof/>
          <w:lang w:val="fr-FR"/>
        </w:rPr>
        <w:t>85</w:t>
      </w:r>
      <w:r w:rsidRPr="00130C7A">
        <w:rPr>
          <w:rFonts w:ascii="Times New Roman" w:eastAsia="Times New Roman" w:hAnsi="Times New Roman" w:cs="Times New Roman"/>
          <w:lang w:val="fr-FR"/>
        </w:rPr>
        <w:fldChar w:fldCharType="end"/>
      </w:r>
      <w:r w:rsidRPr="00130C7A">
        <w:rPr>
          <w:rFonts w:ascii="Times New Roman" w:eastAsia="Times New Roman" w:hAnsi="Times New Roman" w:cs="Times New Roman"/>
          <w:lang w:val="fr-FR"/>
        </w:rPr>
        <w:t>.  </w:t>
      </w:r>
      <w:r w:rsidR="00421D48" w:rsidRPr="00130C7A">
        <w:rPr>
          <w:rFonts w:ascii="Times New Roman" w:eastAsia="Times New Roman" w:hAnsi="Times New Roman" w:cs="Times New Roman"/>
          <w:lang w:val="fr-FR"/>
        </w:rPr>
        <w:t>Pour ce qui est des précédents comportementaux</w:t>
      </w:r>
      <w:r w:rsidR="007F25E9" w:rsidRPr="00130C7A">
        <w:rPr>
          <w:rFonts w:ascii="Times New Roman" w:eastAsia="Times New Roman" w:hAnsi="Times New Roman" w:cs="Times New Roman"/>
          <w:lang w:val="fr-FR"/>
        </w:rPr>
        <w:t xml:space="preserve"> de la victime</w:t>
      </w:r>
      <w:r w:rsidR="00421D48" w:rsidRPr="00130C7A">
        <w:rPr>
          <w:rFonts w:ascii="Times New Roman" w:eastAsia="Times New Roman" w:hAnsi="Times New Roman" w:cs="Times New Roman"/>
          <w:lang w:val="fr-FR"/>
        </w:rPr>
        <w:t>, l</w:t>
      </w:r>
      <w:r w:rsidR="00576548" w:rsidRPr="00130C7A">
        <w:rPr>
          <w:rFonts w:ascii="Times New Roman" w:eastAsia="Times New Roman" w:hAnsi="Times New Roman" w:cs="Times New Roman"/>
          <w:lang w:val="fr-FR"/>
        </w:rPr>
        <w:t>a Cour relève que</w:t>
      </w:r>
      <w:r w:rsidR="00EC4DBB" w:rsidRPr="00130C7A">
        <w:rPr>
          <w:rFonts w:ascii="Times New Roman" w:eastAsia="Times New Roman" w:hAnsi="Times New Roman" w:cs="Times New Roman"/>
          <w:lang w:val="fr-FR"/>
        </w:rPr>
        <w:t xml:space="preserve"> </w:t>
      </w:r>
      <w:r w:rsidR="0069188A" w:rsidRPr="00130C7A">
        <w:rPr>
          <w:rFonts w:ascii="Times New Roman" w:eastAsia="Times New Roman" w:hAnsi="Times New Roman" w:cs="Times New Roman"/>
          <w:lang w:val="fr-FR"/>
        </w:rPr>
        <w:t xml:space="preserve">les autorités </w:t>
      </w:r>
      <w:r w:rsidR="00E17D1A" w:rsidRPr="00130C7A">
        <w:rPr>
          <w:rFonts w:ascii="Times New Roman" w:eastAsia="Times New Roman" w:hAnsi="Times New Roman" w:cs="Times New Roman"/>
          <w:lang w:val="fr-FR"/>
        </w:rPr>
        <w:t>pénitentiaires</w:t>
      </w:r>
      <w:r w:rsidR="0080743D" w:rsidRPr="00130C7A">
        <w:rPr>
          <w:rFonts w:ascii="Times New Roman" w:eastAsia="Times New Roman" w:hAnsi="Times New Roman" w:cs="Times New Roman"/>
          <w:lang w:val="fr-FR"/>
        </w:rPr>
        <w:t xml:space="preserve"> </w:t>
      </w:r>
      <w:r w:rsidR="002458B4" w:rsidRPr="00130C7A">
        <w:rPr>
          <w:rFonts w:ascii="Times New Roman" w:eastAsia="Times New Roman" w:hAnsi="Times New Roman" w:cs="Times New Roman"/>
          <w:lang w:val="fr-FR"/>
        </w:rPr>
        <w:t xml:space="preserve">sont </w:t>
      </w:r>
      <w:r w:rsidR="0069188A" w:rsidRPr="00130C7A">
        <w:rPr>
          <w:rFonts w:ascii="Times New Roman" w:eastAsia="Times New Roman" w:hAnsi="Times New Roman" w:cs="Times New Roman"/>
          <w:lang w:val="fr-FR"/>
        </w:rPr>
        <w:t>interv</w:t>
      </w:r>
      <w:r w:rsidR="002458B4" w:rsidRPr="00130C7A">
        <w:rPr>
          <w:rFonts w:ascii="Times New Roman" w:eastAsia="Times New Roman" w:hAnsi="Times New Roman" w:cs="Times New Roman"/>
          <w:lang w:val="fr-FR"/>
        </w:rPr>
        <w:t>enues</w:t>
      </w:r>
      <w:r w:rsidR="0069188A" w:rsidRPr="00130C7A">
        <w:rPr>
          <w:rFonts w:ascii="Times New Roman" w:eastAsia="Times New Roman" w:hAnsi="Times New Roman" w:cs="Times New Roman"/>
          <w:lang w:val="fr-FR"/>
        </w:rPr>
        <w:t xml:space="preserve"> sans tarder </w:t>
      </w:r>
      <w:r w:rsidR="00576548" w:rsidRPr="00130C7A">
        <w:rPr>
          <w:rFonts w:ascii="Times New Roman" w:eastAsia="Times New Roman" w:hAnsi="Times New Roman" w:cs="Times New Roman"/>
          <w:lang w:val="fr-FR"/>
        </w:rPr>
        <w:t>dans le but d</w:t>
      </w:r>
      <w:r w:rsidR="00130C7A" w:rsidRPr="00130C7A">
        <w:rPr>
          <w:rFonts w:ascii="Times New Roman" w:eastAsia="Times New Roman" w:hAnsi="Times New Roman" w:cs="Times New Roman"/>
          <w:lang w:val="fr-FR"/>
        </w:rPr>
        <w:t>’</w:t>
      </w:r>
      <w:r w:rsidR="0069188A" w:rsidRPr="00130C7A">
        <w:rPr>
          <w:rFonts w:ascii="Times New Roman" w:eastAsia="Times New Roman" w:hAnsi="Times New Roman" w:cs="Times New Roman"/>
          <w:lang w:val="fr-FR"/>
        </w:rPr>
        <w:t xml:space="preserve">élucider les circonstances dans lesquelles avaient eu lieu </w:t>
      </w:r>
      <w:r w:rsidR="00317A34" w:rsidRPr="00130C7A">
        <w:rPr>
          <w:rFonts w:ascii="Times New Roman" w:eastAsia="Times New Roman" w:hAnsi="Times New Roman" w:cs="Times New Roman"/>
          <w:lang w:val="fr-FR"/>
        </w:rPr>
        <w:t xml:space="preserve">les épisodes des </w:t>
      </w:r>
      <w:r w:rsidR="00E17D1A" w:rsidRPr="00130C7A">
        <w:rPr>
          <w:rFonts w:ascii="Times New Roman" w:eastAsia="Times New Roman" w:hAnsi="Times New Roman" w:cs="Times New Roman"/>
          <w:lang w:val="fr-FR"/>
        </w:rPr>
        <w:t xml:space="preserve">18 mars et 12 mai 2005 et </w:t>
      </w:r>
      <w:r w:rsidR="002458B4" w:rsidRPr="00130C7A">
        <w:rPr>
          <w:rFonts w:ascii="Times New Roman" w:eastAsia="Times New Roman" w:hAnsi="Times New Roman" w:cs="Times New Roman"/>
          <w:lang w:val="fr-FR"/>
        </w:rPr>
        <w:t>qu</w:t>
      </w:r>
      <w:r w:rsidR="00130C7A" w:rsidRPr="00130C7A">
        <w:rPr>
          <w:rFonts w:ascii="Times New Roman" w:eastAsia="Times New Roman" w:hAnsi="Times New Roman" w:cs="Times New Roman"/>
          <w:lang w:val="fr-FR"/>
        </w:rPr>
        <w:t>’</w:t>
      </w:r>
      <w:r w:rsidR="002458B4" w:rsidRPr="00130C7A">
        <w:rPr>
          <w:rFonts w:ascii="Times New Roman" w:eastAsia="Times New Roman" w:hAnsi="Times New Roman" w:cs="Times New Roman"/>
          <w:lang w:val="fr-FR"/>
        </w:rPr>
        <w:t xml:space="preserve">elles ont </w:t>
      </w:r>
      <w:r w:rsidR="00E17D1A" w:rsidRPr="00130C7A">
        <w:rPr>
          <w:rFonts w:ascii="Times New Roman" w:eastAsia="Times New Roman" w:hAnsi="Times New Roman" w:cs="Times New Roman"/>
          <w:lang w:val="fr-FR"/>
        </w:rPr>
        <w:t>pri</w:t>
      </w:r>
      <w:r w:rsidR="002458B4" w:rsidRPr="00130C7A">
        <w:rPr>
          <w:rFonts w:ascii="Times New Roman" w:eastAsia="Times New Roman" w:hAnsi="Times New Roman" w:cs="Times New Roman"/>
          <w:lang w:val="fr-FR"/>
        </w:rPr>
        <w:t>s</w:t>
      </w:r>
      <w:r w:rsidR="00E17D1A" w:rsidRPr="00130C7A">
        <w:rPr>
          <w:rFonts w:ascii="Times New Roman" w:eastAsia="Times New Roman" w:hAnsi="Times New Roman" w:cs="Times New Roman"/>
          <w:lang w:val="fr-FR"/>
        </w:rPr>
        <w:t xml:space="preserve"> des mesures de précaution concernant notamment</w:t>
      </w:r>
      <w:r w:rsidR="00576548" w:rsidRPr="00130C7A">
        <w:rPr>
          <w:rFonts w:ascii="Times New Roman" w:eastAsia="Times New Roman" w:hAnsi="Times New Roman" w:cs="Times New Roman"/>
          <w:lang w:val="fr-FR"/>
        </w:rPr>
        <w:t xml:space="preserve"> les modalités d</w:t>
      </w:r>
      <w:r w:rsidR="00130C7A" w:rsidRPr="00130C7A">
        <w:rPr>
          <w:rFonts w:ascii="Times New Roman" w:eastAsia="Times New Roman" w:hAnsi="Times New Roman" w:cs="Times New Roman"/>
          <w:lang w:val="fr-FR"/>
        </w:rPr>
        <w:t>’</w:t>
      </w:r>
      <w:r w:rsidR="00E17D1A" w:rsidRPr="00130C7A">
        <w:rPr>
          <w:rFonts w:ascii="Times New Roman" w:eastAsia="Times New Roman" w:hAnsi="Times New Roman" w:cs="Times New Roman"/>
          <w:lang w:val="fr-FR"/>
        </w:rPr>
        <w:t xml:space="preserve">administration des médicaments </w:t>
      </w:r>
      <w:r w:rsidR="003859FC" w:rsidRPr="00130C7A">
        <w:rPr>
          <w:rFonts w:ascii="Times New Roman" w:eastAsia="Times New Roman" w:hAnsi="Times New Roman" w:cs="Times New Roman"/>
          <w:lang w:val="fr-FR"/>
        </w:rPr>
        <w:t>(paragraphe</w:t>
      </w:r>
      <w:r w:rsidR="00317A34" w:rsidRPr="00130C7A">
        <w:rPr>
          <w:rFonts w:ascii="Times New Roman" w:eastAsia="Times New Roman" w:hAnsi="Times New Roman" w:cs="Times New Roman"/>
          <w:lang w:val="fr-FR"/>
        </w:rPr>
        <w:t xml:space="preserve"> </w:t>
      </w:r>
      <w:r w:rsidR="003859FC" w:rsidRPr="00130C7A">
        <w:rPr>
          <w:rFonts w:ascii="Times New Roman" w:eastAsia="Times New Roman" w:hAnsi="Times New Roman" w:cs="Times New Roman"/>
          <w:lang w:val="fr-FR"/>
        </w:rPr>
        <w:t>8</w:t>
      </w:r>
      <w:r w:rsidR="00DF0362" w:rsidRPr="00130C7A">
        <w:rPr>
          <w:rFonts w:ascii="Times New Roman" w:eastAsia="Times New Roman" w:hAnsi="Times New Roman" w:cs="Times New Roman"/>
          <w:lang w:val="fr-FR"/>
        </w:rPr>
        <w:t xml:space="preserve"> </w:t>
      </w:r>
      <w:r w:rsidR="00576548" w:rsidRPr="00130C7A">
        <w:rPr>
          <w:rFonts w:ascii="Times New Roman" w:eastAsia="Times New Roman" w:hAnsi="Times New Roman" w:cs="Times New Roman"/>
          <w:lang w:val="fr-FR"/>
        </w:rPr>
        <w:t>ci-d</w:t>
      </w:r>
      <w:r w:rsidR="00DF0362" w:rsidRPr="00130C7A">
        <w:rPr>
          <w:rFonts w:ascii="Times New Roman" w:eastAsia="Times New Roman" w:hAnsi="Times New Roman" w:cs="Times New Roman"/>
          <w:lang w:val="fr-FR"/>
        </w:rPr>
        <w:t xml:space="preserve">essus). </w:t>
      </w:r>
      <w:r w:rsidR="006A2935" w:rsidRPr="00130C7A">
        <w:rPr>
          <w:rFonts w:ascii="Times New Roman" w:eastAsia="Times New Roman" w:hAnsi="Times New Roman" w:cs="Times New Roman"/>
          <w:lang w:val="fr-FR"/>
        </w:rPr>
        <w:t>Quant aux</w:t>
      </w:r>
      <w:r w:rsidR="00E17D1A" w:rsidRPr="00130C7A">
        <w:rPr>
          <w:rFonts w:ascii="Times New Roman" w:eastAsia="Times New Roman" w:hAnsi="Times New Roman" w:cs="Times New Roman"/>
          <w:lang w:val="fr-FR"/>
        </w:rPr>
        <w:t xml:space="preserve"> faits</w:t>
      </w:r>
      <w:r w:rsidR="00154179" w:rsidRPr="00130C7A">
        <w:rPr>
          <w:rFonts w:ascii="Times New Roman" w:eastAsia="Times New Roman" w:hAnsi="Times New Roman" w:cs="Times New Roman"/>
          <w:lang w:val="fr-FR"/>
        </w:rPr>
        <w:t xml:space="preserve"> survenus le</w:t>
      </w:r>
      <w:r w:rsidR="0069188A" w:rsidRPr="00130C7A">
        <w:rPr>
          <w:rFonts w:ascii="Times New Roman" w:eastAsia="Times New Roman" w:hAnsi="Times New Roman" w:cs="Times New Roman"/>
          <w:lang w:val="fr-FR"/>
        </w:rPr>
        <w:t xml:space="preserve"> 12</w:t>
      </w:r>
      <w:r w:rsidR="00AD619D" w:rsidRPr="00130C7A">
        <w:rPr>
          <w:rFonts w:ascii="Times New Roman" w:eastAsia="Times New Roman" w:hAnsi="Times New Roman" w:cs="Times New Roman"/>
          <w:lang w:val="fr-FR"/>
        </w:rPr>
        <w:t> </w:t>
      </w:r>
      <w:r w:rsidR="0069188A" w:rsidRPr="00130C7A">
        <w:rPr>
          <w:rFonts w:ascii="Times New Roman" w:eastAsia="Times New Roman" w:hAnsi="Times New Roman" w:cs="Times New Roman"/>
          <w:lang w:val="fr-FR"/>
        </w:rPr>
        <w:t>mai</w:t>
      </w:r>
      <w:r w:rsidR="00AD619D" w:rsidRPr="00130C7A">
        <w:rPr>
          <w:rFonts w:ascii="Times New Roman" w:eastAsia="Times New Roman" w:hAnsi="Times New Roman" w:cs="Times New Roman"/>
          <w:lang w:val="fr-FR"/>
        </w:rPr>
        <w:t> </w:t>
      </w:r>
      <w:r w:rsidR="0069188A" w:rsidRPr="00130C7A">
        <w:rPr>
          <w:rFonts w:ascii="Times New Roman" w:eastAsia="Times New Roman" w:hAnsi="Times New Roman" w:cs="Times New Roman"/>
          <w:lang w:val="fr-FR"/>
        </w:rPr>
        <w:t xml:space="preserve">2005, </w:t>
      </w:r>
      <w:r w:rsidR="00154179" w:rsidRPr="00130C7A">
        <w:rPr>
          <w:rFonts w:ascii="Times New Roman" w:eastAsia="Times New Roman" w:hAnsi="Times New Roman" w:cs="Times New Roman"/>
          <w:lang w:val="fr-FR"/>
        </w:rPr>
        <w:t>à savoir l</w:t>
      </w:r>
      <w:r w:rsidR="00130C7A" w:rsidRPr="00130C7A">
        <w:rPr>
          <w:rFonts w:ascii="Times New Roman" w:eastAsia="Times New Roman" w:hAnsi="Times New Roman" w:cs="Times New Roman"/>
          <w:lang w:val="fr-FR"/>
        </w:rPr>
        <w:t>’</w:t>
      </w:r>
      <w:r w:rsidR="00154179" w:rsidRPr="00130C7A">
        <w:rPr>
          <w:rFonts w:ascii="Times New Roman" w:eastAsia="Times New Roman" w:hAnsi="Times New Roman" w:cs="Times New Roman"/>
          <w:lang w:val="fr-FR"/>
        </w:rPr>
        <w:t>inhalation de gaz</w:t>
      </w:r>
      <w:r w:rsidR="007C4345" w:rsidRPr="00130C7A">
        <w:rPr>
          <w:rFonts w:ascii="Times New Roman" w:eastAsia="Times New Roman" w:hAnsi="Times New Roman" w:cs="Times New Roman"/>
          <w:lang w:val="fr-FR"/>
        </w:rPr>
        <w:t xml:space="preserve"> par A.</w:t>
      </w:r>
      <w:r w:rsidR="00154179" w:rsidRPr="00130C7A">
        <w:rPr>
          <w:rFonts w:ascii="Times New Roman" w:eastAsia="Times New Roman" w:hAnsi="Times New Roman" w:cs="Times New Roman"/>
          <w:lang w:val="fr-FR"/>
        </w:rPr>
        <w:t xml:space="preserve">, rapportée par </w:t>
      </w:r>
      <w:r w:rsidR="002978CA" w:rsidRPr="00130C7A">
        <w:rPr>
          <w:rFonts w:ascii="Times New Roman" w:eastAsia="Times New Roman" w:hAnsi="Times New Roman" w:cs="Times New Roman"/>
          <w:lang w:val="fr-FR"/>
        </w:rPr>
        <w:t>un agent pénitentiaire</w:t>
      </w:r>
      <w:r w:rsidR="00127EC7" w:rsidRPr="00130C7A">
        <w:rPr>
          <w:rFonts w:ascii="Times New Roman" w:eastAsia="Times New Roman" w:hAnsi="Times New Roman" w:cs="Times New Roman"/>
          <w:lang w:val="fr-FR"/>
        </w:rPr>
        <w:t>,</w:t>
      </w:r>
      <w:r w:rsidR="00317A34" w:rsidRPr="00130C7A">
        <w:rPr>
          <w:rFonts w:ascii="Times New Roman" w:eastAsia="Times New Roman" w:hAnsi="Times New Roman" w:cs="Times New Roman"/>
          <w:lang w:val="fr-FR"/>
        </w:rPr>
        <w:t xml:space="preserve"> </w:t>
      </w:r>
      <w:r w:rsidR="0069188A" w:rsidRPr="00130C7A">
        <w:rPr>
          <w:rFonts w:ascii="Times New Roman" w:eastAsia="Times New Roman" w:hAnsi="Times New Roman" w:cs="Times New Roman"/>
          <w:lang w:val="fr-FR"/>
        </w:rPr>
        <w:t xml:space="preserve">la </w:t>
      </w:r>
      <w:r w:rsidR="00520CD0" w:rsidRPr="00130C7A">
        <w:rPr>
          <w:rFonts w:ascii="Times New Roman" w:eastAsia="Times New Roman" w:hAnsi="Times New Roman" w:cs="Times New Roman"/>
          <w:lang w:val="fr-FR"/>
        </w:rPr>
        <w:t xml:space="preserve">Cour </w:t>
      </w:r>
      <w:r w:rsidR="002978CA" w:rsidRPr="00130C7A">
        <w:rPr>
          <w:rFonts w:ascii="Times New Roman" w:eastAsia="Times New Roman" w:hAnsi="Times New Roman" w:cs="Times New Roman"/>
          <w:lang w:val="fr-FR"/>
        </w:rPr>
        <w:t xml:space="preserve">observe </w:t>
      </w:r>
      <w:r w:rsidR="006B77AC" w:rsidRPr="00130C7A">
        <w:rPr>
          <w:rFonts w:ascii="Times New Roman" w:eastAsia="Times New Roman" w:hAnsi="Times New Roman" w:cs="Times New Roman"/>
          <w:lang w:val="fr-FR"/>
        </w:rPr>
        <w:t xml:space="preserve">que </w:t>
      </w:r>
      <w:r w:rsidR="007C4345" w:rsidRPr="00130C7A">
        <w:rPr>
          <w:rFonts w:ascii="Times New Roman" w:eastAsia="Times New Roman" w:hAnsi="Times New Roman" w:cs="Times New Roman"/>
          <w:lang w:val="fr-FR"/>
        </w:rPr>
        <w:t>le proche du requérant</w:t>
      </w:r>
      <w:r w:rsidR="001C7B14" w:rsidRPr="00130C7A">
        <w:rPr>
          <w:rFonts w:ascii="Times New Roman" w:eastAsia="Times New Roman" w:hAnsi="Times New Roman" w:cs="Times New Roman"/>
          <w:lang w:val="fr-FR"/>
        </w:rPr>
        <w:t xml:space="preserve"> </w:t>
      </w:r>
      <w:r w:rsidR="00154179" w:rsidRPr="00130C7A">
        <w:rPr>
          <w:rFonts w:ascii="Times New Roman" w:eastAsia="Times New Roman" w:hAnsi="Times New Roman" w:cs="Times New Roman"/>
          <w:lang w:val="fr-FR"/>
        </w:rPr>
        <w:t xml:space="preserve">a </w:t>
      </w:r>
      <w:r w:rsidR="001C7B14" w:rsidRPr="00130C7A">
        <w:rPr>
          <w:rFonts w:ascii="Times New Roman" w:eastAsia="Times New Roman" w:hAnsi="Times New Roman" w:cs="Times New Roman"/>
          <w:lang w:val="fr-FR"/>
        </w:rPr>
        <w:t xml:space="preserve">immédiatement </w:t>
      </w:r>
      <w:r w:rsidR="00154179" w:rsidRPr="00130C7A">
        <w:rPr>
          <w:rFonts w:ascii="Times New Roman" w:eastAsia="Times New Roman" w:hAnsi="Times New Roman" w:cs="Times New Roman"/>
          <w:lang w:val="fr-FR"/>
        </w:rPr>
        <w:t xml:space="preserve">été </w:t>
      </w:r>
      <w:r w:rsidR="001C7B14" w:rsidRPr="00130C7A">
        <w:rPr>
          <w:rFonts w:ascii="Times New Roman" w:eastAsia="Times New Roman" w:hAnsi="Times New Roman" w:cs="Times New Roman"/>
          <w:lang w:val="fr-FR"/>
        </w:rPr>
        <w:t>pris</w:t>
      </w:r>
      <w:r w:rsidR="00127EC7" w:rsidRPr="00130C7A">
        <w:rPr>
          <w:rFonts w:ascii="Times New Roman" w:eastAsia="Times New Roman" w:hAnsi="Times New Roman" w:cs="Times New Roman"/>
          <w:lang w:val="fr-FR"/>
        </w:rPr>
        <w:t xml:space="preserve"> en charge par un médecin et </w:t>
      </w:r>
      <w:r w:rsidR="009F2D07" w:rsidRPr="00130C7A">
        <w:rPr>
          <w:rFonts w:ascii="Times New Roman" w:eastAsia="Times New Roman" w:hAnsi="Times New Roman" w:cs="Times New Roman"/>
          <w:lang w:val="fr-FR"/>
        </w:rPr>
        <w:t>qu</w:t>
      </w:r>
      <w:r w:rsidR="00130C7A" w:rsidRPr="00130C7A">
        <w:rPr>
          <w:rFonts w:ascii="Times New Roman" w:eastAsia="Times New Roman" w:hAnsi="Times New Roman" w:cs="Times New Roman"/>
          <w:lang w:val="fr-FR"/>
        </w:rPr>
        <w:t>’</w:t>
      </w:r>
      <w:r w:rsidR="002978CA" w:rsidRPr="00130C7A">
        <w:rPr>
          <w:rFonts w:ascii="Times New Roman" w:eastAsia="Times New Roman" w:hAnsi="Times New Roman" w:cs="Times New Roman"/>
          <w:lang w:val="fr-FR"/>
        </w:rPr>
        <w:t xml:space="preserve">une enquête </w:t>
      </w:r>
      <w:r w:rsidR="00154179" w:rsidRPr="00130C7A">
        <w:rPr>
          <w:rFonts w:ascii="Times New Roman" w:eastAsia="Times New Roman" w:hAnsi="Times New Roman" w:cs="Times New Roman"/>
          <w:lang w:val="fr-FR"/>
        </w:rPr>
        <w:t xml:space="preserve">a été </w:t>
      </w:r>
      <w:r w:rsidR="00127EC7" w:rsidRPr="00130C7A">
        <w:rPr>
          <w:rFonts w:ascii="Times New Roman" w:eastAsia="Times New Roman" w:hAnsi="Times New Roman" w:cs="Times New Roman"/>
          <w:lang w:val="fr-FR"/>
        </w:rPr>
        <w:t>menée par</w:t>
      </w:r>
      <w:r w:rsidR="002978CA" w:rsidRPr="00130C7A">
        <w:rPr>
          <w:rFonts w:ascii="Times New Roman" w:eastAsia="Times New Roman" w:hAnsi="Times New Roman" w:cs="Times New Roman"/>
          <w:lang w:val="fr-FR"/>
        </w:rPr>
        <w:t xml:space="preserve"> la </w:t>
      </w:r>
      <w:r w:rsidR="003A254F" w:rsidRPr="00130C7A">
        <w:rPr>
          <w:rFonts w:ascii="Times New Roman" w:eastAsia="Times New Roman" w:hAnsi="Times New Roman" w:cs="Times New Roman"/>
          <w:lang w:val="fr-FR"/>
        </w:rPr>
        <w:t>c</w:t>
      </w:r>
      <w:r w:rsidR="002978CA" w:rsidRPr="00130C7A">
        <w:rPr>
          <w:rFonts w:ascii="Times New Roman" w:eastAsia="Times New Roman" w:hAnsi="Times New Roman" w:cs="Times New Roman"/>
          <w:lang w:val="fr-FR"/>
        </w:rPr>
        <w:t xml:space="preserve">ommission </w:t>
      </w:r>
      <w:r w:rsidR="003A254F" w:rsidRPr="00130C7A">
        <w:rPr>
          <w:rFonts w:ascii="Times New Roman" w:eastAsia="Times New Roman" w:hAnsi="Times New Roman" w:cs="Times New Roman"/>
          <w:lang w:val="fr-FR"/>
        </w:rPr>
        <w:t xml:space="preserve">de </w:t>
      </w:r>
      <w:r w:rsidR="002978CA" w:rsidRPr="00130C7A">
        <w:rPr>
          <w:rFonts w:ascii="Times New Roman" w:eastAsia="Times New Roman" w:hAnsi="Times New Roman" w:cs="Times New Roman"/>
          <w:lang w:val="fr-FR"/>
        </w:rPr>
        <w:t>discipline</w:t>
      </w:r>
      <w:r w:rsidR="006B77AC" w:rsidRPr="00130C7A">
        <w:rPr>
          <w:rFonts w:ascii="Times New Roman" w:eastAsia="Times New Roman" w:hAnsi="Times New Roman" w:cs="Times New Roman"/>
          <w:lang w:val="fr-FR"/>
        </w:rPr>
        <w:t xml:space="preserve"> de la prison</w:t>
      </w:r>
      <w:r w:rsidR="00192748" w:rsidRPr="00130C7A">
        <w:rPr>
          <w:rFonts w:ascii="Times New Roman" w:eastAsia="Times New Roman" w:hAnsi="Times New Roman" w:cs="Times New Roman"/>
          <w:lang w:val="fr-FR"/>
        </w:rPr>
        <w:t xml:space="preserve">. La Cour ne </w:t>
      </w:r>
      <w:r w:rsidR="0069188A" w:rsidRPr="00130C7A">
        <w:rPr>
          <w:rFonts w:ascii="Times New Roman" w:eastAsia="Times New Roman" w:hAnsi="Times New Roman" w:cs="Times New Roman"/>
          <w:lang w:val="fr-FR"/>
        </w:rPr>
        <w:t xml:space="preserve">saurait </w:t>
      </w:r>
      <w:r w:rsidR="00520CD0" w:rsidRPr="00130C7A">
        <w:rPr>
          <w:rFonts w:ascii="Times New Roman" w:eastAsia="Times New Roman" w:hAnsi="Times New Roman" w:cs="Times New Roman"/>
          <w:lang w:val="fr-FR"/>
        </w:rPr>
        <w:t>considérer</w:t>
      </w:r>
      <w:r w:rsidR="006A2935" w:rsidRPr="00130C7A">
        <w:rPr>
          <w:rFonts w:ascii="Times New Roman" w:eastAsia="Times New Roman" w:hAnsi="Times New Roman" w:cs="Times New Roman"/>
          <w:lang w:val="fr-FR"/>
        </w:rPr>
        <w:t xml:space="preserve"> que</w:t>
      </w:r>
      <w:r w:rsidR="002B50A4" w:rsidRPr="00130C7A">
        <w:rPr>
          <w:rFonts w:ascii="Times New Roman" w:eastAsia="Times New Roman" w:hAnsi="Times New Roman" w:cs="Times New Roman"/>
          <w:lang w:val="fr-FR"/>
        </w:rPr>
        <w:t xml:space="preserve"> les conclusions de la </w:t>
      </w:r>
      <w:r w:rsidR="003A254F" w:rsidRPr="00130C7A">
        <w:rPr>
          <w:rFonts w:ascii="Times New Roman" w:eastAsia="Times New Roman" w:hAnsi="Times New Roman" w:cs="Times New Roman"/>
          <w:lang w:val="fr-FR"/>
        </w:rPr>
        <w:t>c</w:t>
      </w:r>
      <w:r w:rsidR="0069188A" w:rsidRPr="00130C7A">
        <w:rPr>
          <w:rFonts w:ascii="Times New Roman" w:eastAsia="Times New Roman" w:hAnsi="Times New Roman" w:cs="Times New Roman"/>
          <w:lang w:val="fr-FR"/>
        </w:rPr>
        <w:t xml:space="preserve">ommission </w:t>
      </w:r>
      <w:r w:rsidR="003A254F" w:rsidRPr="00130C7A">
        <w:rPr>
          <w:rFonts w:ascii="Times New Roman" w:eastAsia="Times New Roman" w:hAnsi="Times New Roman" w:cs="Times New Roman"/>
          <w:lang w:val="fr-FR"/>
        </w:rPr>
        <w:t xml:space="preserve">de </w:t>
      </w:r>
      <w:r w:rsidR="002B50A4" w:rsidRPr="00130C7A">
        <w:rPr>
          <w:rFonts w:ascii="Times New Roman" w:eastAsia="Times New Roman" w:hAnsi="Times New Roman" w:cs="Times New Roman"/>
          <w:lang w:val="fr-FR"/>
        </w:rPr>
        <w:t>discipline</w:t>
      </w:r>
      <w:r w:rsidR="006B77AC" w:rsidRPr="00130C7A">
        <w:rPr>
          <w:rFonts w:ascii="Times New Roman" w:eastAsia="Times New Roman" w:hAnsi="Times New Roman" w:cs="Times New Roman"/>
          <w:lang w:val="fr-FR"/>
        </w:rPr>
        <w:t>,</w:t>
      </w:r>
      <w:r w:rsidR="002B50A4" w:rsidRPr="00130C7A">
        <w:rPr>
          <w:rFonts w:ascii="Times New Roman" w:eastAsia="Times New Roman" w:hAnsi="Times New Roman" w:cs="Times New Roman"/>
          <w:lang w:val="fr-FR"/>
        </w:rPr>
        <w:t xml:space="preserve"> </w:t>
      </w:r>
      <w:r w:rsidR="006B77AC" w:rsidRPr="00130C7A">
        <w:rPr>
          <w:rFonts w:ascii="Times New Roman" w:eastAsia="Times New Roman" w:hAnsi="Times New Roman" w:cs="Times New Roman"/>
          <w:lang w:val="fr-FR"/>
        </w:rPr>
        <w:t>motivées à la lumière des déclarations de l</w:t>
      </w:r>
      <w:r w:rsidR="00130C7A" w:rsidRPr="00130C7A">
        <w:rPr>
          <w:rFonts w:ascii="Times New Roman" w:eastAsia="Times New Roman" w:hAnsi="Times New Roman" w:cs="Times New Roman"/>
          <w:lang w:val="fr-FR"/>
        </w:rPr>
        <w:t>’</w:t>
      </w:r>
      <w:r w:rsidR="006B77AC" w:rsidRPr="00130C7A">
        <w:rPr>
          <w:rFonts w:ascii="Times New Roman" w:eastAsia="Times New Roman" w:hAnsi="Times New Roman" w:cs="Times New Roman"/>
          <w:lang w:val="fr-FR"/>
        </w:rPr>
        <w:t>intéressé et du</w:t>
      </w:r>
      <w:r w:rsidR="001447F0" w:rsidRPr="00130C7A">
        <w:rPr>
          <w:rFonts w:ascii="Times New Roman" w:eastAsia="Times New Roman" w:hAnsi="Times New Roman" w:cs="Times New Roman"/>
          <w:lang w:val="fr-FR"/>
        </w:rPr>
        <w:t xml:space="preserve"> rapport établi</w:t>
      </w:r>
      <w:r w:rsidR="006B77AC" w:rsidRPr="00130C7A">
        <w:rPr>
          <w:rFonts w:ascii="Times New Roman" w:eastAsia="Times New Roman" w:hAnsi="Times New Roman" w:cs="Times New Roman"/>
          <w:lang w:val="fr-FR"/>
        </w:rPr>
        <w:t xml:space="preserve"> par le médecin</w:t>
      </w:r>
      <w:r w:rsidR="00AD3B03" w:rsidRPr="00130C7A">
        <w:rPr>
          <w:rFonts w:ascii="Times New Roman" w:eastAsia="Times New Roman" w:hAnsi="Times New Roman" w:cs="Times New Roman"/>
          <w:lang w:val="fr-FR"/>
        </w:rPr>
        <w:t xml:space="preserve"> attestant l</w:t>
      </w:r>
      <w:r w:rsidR="00130C7A" w:rsidRPr="00130C7A">
        <w:rPr>
          <w:rFonts w:ascii="Times New Roman" w:eastAsia="Times New Roman" w:hAnsi="Times New Roman" w:cs="Times New Roman"/>
          <w:lang w:val="fr-FR"/>
        </w:rPr>
        <w:t>’</w:t>
      </w:r>
      <w:r w:rsidR="00AD3B03" w:rsidRPr="00130C7A">
        <w:rPr>
          <w:rFonts w:ascii="Times New Roman" w:eastAsia="Times New Roman" w:hAnsi="Times New Roman" w:cs="Times New Roman"/>
          <w:lang w:val="fr-FR"/>
        </w:rPr>
        <w:t xml:space="preserve">absence </w:t>
      </w:r>
      <w:r w:rsidR="00421D48" w:rsidRPr="00130C7A">
        <w:rPr>
          <w:rFonts w:ascii="Times New Roman" w:eastAsia="Times New Roman" w:hAnsi="Times New Roman" w:cs="Times New Roman"/>
          <w:lang w:val="fr-FR"/>
        </w:rPr>
        <w:t>de signes évidents d</w:t>
      </w:r>
      <w:r w:rsidR="00130C7A" w:rsidRPr="00130C7A">
        <w:rPr>
          <w:rFonts w:ascii="Times New Roman" w:eastAsia="Times New Roman" w:hAnsi="Times New Roman" w:cs="Times New Roman"/>
          <w:lang w:val="fr-FR"/>
        </w:rPr>
        <w:t>’</w:t>
      </w:r>
      <w:r w:rsidR="00421D48" w:rsidRPr="00130C7A">
        <w:rPr>
          <w:rFonts w:ascii="Times New Roman" w:eastAsia="Times New Roman" w:hAnsi="Times New Roman" w:cs="Times New Roman"/>
          <w:lang w:val="fr-FR"/>
        </w:rPr>
        <w:t>intoxication</w:t>
      </w:r>
      <w:r w:rsidR="00AD3B03" w:rsidRPr="00130C7A">
        <w:rPr>
          <w:rFonts w:ascii="Times New Roman" w:eastAsia="Times New Roman" w:hAnsi="Times New Roman" w:cs="Times New Roman"/>
          <w:lang w:val="fr-FR"/>
        </w:rPr>
        <w:t xml:space="preserve"> </w:t>
      </w:r>
      <w:r w:rsidR="00154179" w:rsidRPr="00130C7A">
        <w:rPr>
          <w:rFonts w:ascii="Times New Roman" w:eastAsia="Times New Roman" w:hAnsi="Times New Roman" w:cs="Times New Roman"/>
          <w:lang w:val="fr-FR"/>
        </w:rPr>
        <w:t>au</w:t>
      </w:r>
      <w:r w:rsidR="007F25E9" w:rsidRPr="00130C7A">
        <w:rPr>
          <w:rFonts w:ascii="Times New Roman" w:eastAsia="Times New Roman" w:hAnsi="Times New Roman" w:cs="Times New Roman"/>
          <w:lang w:val="fr-FR"/>
        </w:rPr>
        <w:t xml:space="preserve"> gaz</w:t>
      </w:r>
      <w:r w:rsidR="006B77AC" w:rsidRPr="00130C7A">
        <w:rPr>
          <w:rFonts w:ascii="Times New Roman" w:eastAsia="Times New Roman" w:hAnsi="Times New Roman" w:cs="Times New Roman"/>
          <w:lang w:val="fr-FR"/>
        </w:rPr>
        <w:t xml:space="preserve">, </w:t>
      </w:r>
      <w:r w:rsidR="00154179" w:rsidRPr="00130C7A">
        <w:rPr>
          <w:rFonts w:ascii="Times New Roman" w:eastAsia="Times New Roman" w:hAnsi="Times New Roman" w:cs="Times New Roman"/>
          <w:lang w:val="fr-FR"/>
        </w:rPr>
        <w:t>étaient</w:t>
      </w:r>
      <w:r w:rsidR="0069188A" w:rsidRPr="00130C7A">
        <w:rPr>
          <w:rFonts w:ascii="Times New Roman" w:eastAsia="Times New Roman" w:hAnsi="Times New Roman" w:cs="Times New Roman"/>
          <w:lang w:val="fr-FR"/>
        </w:rPr>
        <w:t xml:space="preserve"> </w:t>
      </w:r>
      <w:r w:rsidR="002B50A4" w:rsidRPr="00130C7A">
        <w:rPr>
          <w:rFonts w:ascii="Times New Roman" w:eastAsia="Times New Roman" w:hAnsi="Times New Roman" w:cs="Times New Roman"/>
          <w:lang w:val="fr-FR"/>
        </w:rPr>
        <w:t>déraisonnables</w:t>
      </w:r>
      <w:r w:rsidR="0069188A" w:rsidRPr="00130C7A">
        <w:rPr>
          <w:rFonts w:ascii="Times New Roman" w:eastAsia="Times New Roman" w:hAnsi="Times New Roman" w:cs="Times New Roman"/>
          <w:lang w:val="fr-FR"/>
        </w:rPr>
        <w:t xml:space="preserve"> ou </w:t>
      </w:r>
      <w:r w:rsidR="00192748" w:rsidRPr="00130C7A">
        <w:rPr>
          <w:rFonts w:ascii="Times New Roman" w:eastAsia="Times New Roman" w:hAnsi="Times New Roman" w:cs="Times New Roman"/>
          <w:lang w:val="fr-FR"/>
        </w:rPr>
        <w:t>injustifiées</w:t>
      </w:r>
      <w:r w:rsidR="006B77AC" w:rsidRPr="00130C7A">
        <w:rPr>
          <w:rFonts w:ascii="Times New Roman" w:eastAsia="Times New Roman" w:hAnsi="Times New Roman" w:cs="Times New Roman"/>
          <w:lang w:val="fr-FR"/>
        </w:rPr>
        <w:t xml:space="preserve"> et que les autorités </w:t>
      </w:r>
      <w:r w:rsidR="00154179" w:rsidRPr="00130C7A">
        <w:rPr>
          <w:rFonts w:ascii="Times New Roman" w:eastAsia="Times New Roman" w:hAnsi="Times New Roman" w:cs="Times New Roman"/>
          <w:lang w:val="fr-FR"/>
        </w:rPr>
        <w:t xml:space="preserve">ont </w:t>
      </w:r>
      <w:r w:rsidR="006B77AC" w:rsidRPr="00130C7A">
        <w:rPr>
          <w:rFonts w:ascii="Times New Roman" w:eastAsia="Times New Roman" w:hAnsi="Times New Roman" w:cs="Times New Roman"/>
          <w:lang w:val="fr-FR"/>
        </w:rPr>
        <w:t xml:space="preserve">eu tort de ne pas mettre en place des </w:t>
      </w:r>
      <w:r w:rsidR="0091584A" w:rsidRPr="00130C7A">
        <w:rPr>
          <w:rFonts w:ascii="Times New Roman" w:eastAsia="Times New Roman" w:hAnsi="Times New Roman" w:cs="Times New Roman"/>
          <w:lang w:val="fr-FR"/>
        </w:rPr>
        <w:t>mesures de restriction particulières</w:t>
      </w:r>
      <w:r w:rsidR="00576548" w:rsidRPr="00130C7A">
        <w:rPr>
          <w:rFonts w:ascii="Times New Roman" w:eastAsia="Times New Roman" w:hAnsi="Times New Roman" w:cs="Times New Roman"/>
          <w:lang w:val="fr-FR"/>
        </w:rPr>
        <w:t xml:space="preserve"> telles qu</w:t>
      </w:r>
      <w:r w:rsidR="00130C7A" w:rsidRPr="00130C7A">
        <w:rPr>
          <w:rFonts w:ascii="Times New Roman" w:eastAsia="Times New Roman" w:hAnsi="Times New Roman" w:cs="Times New Roman"/>
          <w:lang w:val="fr-FR"/>
        </w:rPr>
        <w:t>’</w:t>
      </w:r>
      <w:r w:rsidR="00576548" w:rsidRPr="00130C7A">
        <w:rPr>
          <w:rFonts w:ascii="Times New Roman" w:eastAsia="Times New Roman" w:hAnsi="Times New Roman" w:cs="Times New Roman"/>
          <w:lang w:val="fr-FR"/>
        </w:rPr>
        <w:t xml:space="preserve">un accès </w:t>
      </w:r>
      <w:r w:rsidR="00EA2D7C" w:rsidRPr="00130C7A">
        <w:rPr>
          <w:rFonts w:ascii="Times New Roman" w:eastAsia="Times New Roman" w:hAnsi="Times New Roman" w:cs="Times New Roman"/>
          <w:lang w:val="fr-FR"/>
        </w:rPr>
        <w:t>limité</w:t>
      </w:r>
      <w:r w:rsidR="00576548" w:rsidRPr="00130C7A">
        <w:rPr>
          <w:rFonts w:ascii="Times New Roman" w:eastAsia="Times New Roman" w:hAnsi="Times New Roman" w:cs="Times New Roman"/>
          <w:lang w:val="fr-FR"/>
        </w:rPr>
        <w:t xml:space="preserve"> aux cartouches de gaz ou la mise en place d</w:t>
      </w:r>
      <w:r w:rsidR="00130C7A" w:rsidRPr="00130C7A">
        <w:rPr>
          <w:rFonts w:ascii="Times New Roman" w:eastAsia="Times New Roman" w:hAnsi="Times New Roman" w:cs="Times New Roman"/>
          <w:lang w:val="fr-FR"/>
        </w:rPr>
        <w:t>’</w:t>
      </w:r>
      <w:r w:rsidR="00576548" w:rsidRPr="00130C7A">
        <w:rPr>
          <w:rFonts w:ascii="Times New Roman" w:eastAsia="Times New Roman" w:hAnsi="Times New Roman" w:cs="Times New Roman"/>
          <w:lang w:val="fr-FR"/>
        </w:rPr>
        <w:t>une surveillance renforcée</w:t>
      </w:r>
      <w:r w:rsidR="0091584A" w:rsidRPr="00130C7A">
        <w:rPr>
          <w:rFonts w:ascii="Times New Roman" w:eastAsia="Times New Roman" w:hAnsi="Times New Roman" w:cs="Times New Roman"/>
          <w:lang w:val="fr-FR"/>
        </w:rPr>
        <w:t>.</w:t>
      </w:r>
    </w:p>
    <w:p w:rsidR="001E0028" w:rsidRPr="00130C7A" w:rsidRDefault="002A6FEC" w:rsidP="00130C7A">
      <w:pPr>
        <w:pStyle w:val="ECHRPara"/>
        <w:rPr>
          <w:lang w:val="fr-FR"/>
        </w:rPr>
      </w:pPr>
      <w:r w:rsidRPr="00130C7A">
        <w:rPr>
          <w:rFonts w:ascii="Times New Roman" w:eastAsia="Times New Roman" w:hAnsi="Times New Roman" w:cs="Times New Roman"/>
          <w:lang w:val="fr-FR"/>
        </w:rPr>
        <w:fldChar w:fldCharType="begin"/>
      </w:r>
      <w:r w:rsidRPr="00130C7A">
        <w:rPr>
          <w:rFonts w:ascii="Times New Roman" w:eastAsia="Times New Roman" w:hAnsi="Times New Roman" w:cs="Times New Roman"/>
          <w:lang w:val="fr-FR"/>
        </w:rPr>
        <w:instrText xml:space="preserve"> SEQ level0 \*arabic </w:instrText>
      </w:r>
      <w:r w:rsidRPr="00130C7A">
        <w:rPr>
          <w:rFonts w:ascii="Times New Roman" w:eastAsia="Times New Roman" w:hAnsi="Times New Roman" w:cs="Times New Roman"/>
          <w:lang w:val="fr-FR"/>
        </w:rPr>
        <w:fldChar w:fldCharType="separate"/>
      </w:r>
      <w:r w:rsidR="00130C7A" w:rsidRPr="00130C7A">
        <w:rPr>
          <w:rFonts w:ascii="Times New Roman" w:eastAsia="Times New Roman" w:hAnsi="Times New Roman" w:cs="Times New Roman"/>
          <w:noProof/>
          <w:lang w:val="fr-FR"/>
        </w:rPr>
        <w:t>86</w:t>
      </w:r>
      <w:r w:rsidRPr="00130C7A">
        <w:rPr>
          <w:rFonts w:ascii="Times New Roman" w:eastAsia="Times New Roman" w:hAnsi="Times New Roman" w:cs="Times New Roman"/>
          <w:lang w:val="fr-FR"/>
        </w:rPr>
        <w:fldChar w:fldCharType="end"/>
      </w:r>
      <w:r w:rsidRPr="00130C7A">
        <w:rPr>
          <w:rFonts w:ascii="Times New Roman" w:eastAsia="Times New Roman" w:hAnsi="Times New Roman" w:cs="Times New Roman"/>
          <w:lang w:val="fr-FR"/>
        </w:rPr>
        <w:t>.  </w:t>
      </w:r>
      <w:r w:rsidR="00154179" w:rsidRPr="00130C7A">
        <w:rPr>
          <w:rFonts w:ascii="Times New Roman" w:eastAsia="Times New Roman" w:hAnsi="Times New Roman" w:cs="Times New Roman"/>
          <w:lang w:val="fr-FR"/>
        </w:rPr>
        <w:t>À</w:t>
      </w:r>
      <w:r w:rsidR="00576548" w:rsidRPr="00130C7A">
        <w:rPr>
          <w:rFonts w:ascii="Times New Roman" w:eastAsia="Times New Roman" w:hAnsi="Times New Roman" w:cs="Times New Roman"/>
          <w:lang w:val="fr-FR"/>
        </w:rPr>
        <w:t xml:space="preserve"> cet égard, la Cour rappelle </w:t>
      </w:r>
      <w:r w:rsidR="00BD16E4" w:rsidRPr="00130C7A">
        <w:rPr>
          <w:rFonts w:ascii="Times New Roman" w:eastAsia="Times New Roman" w:hAnsi="Times New Roman" w:cs="Times New Roman"/>
          <w:lang w:val="fr-FR"/>
        </w:rPr>
        <w:t>que les autorités doivent s</w:t>
      </w:r>
      <w:r w:rsidR="00130C7A" w:rsidRPr="00130C7A">
        <w:rPr>
          <w:rFonts w:ascii="Times New Roman" w:eastAsia="Times New Roman" w:hAnsi="Times New Roman" w:cs="Times New Roman"/>
          <w:lang w:val="fr-FR"/>
        </w:rPr>
        <w:t>’</w:t>
      </w:r>
      <w:r w:rsidR="00BD16E4" w:rsidRPr="00130C7A">
        <w:rPr>
          <w:rFonts w:ascii="Times New Roman" w:eastAsia="Times New Roman" w:hAnsi="Times New Roman" w:cs="Times New Roman"/>
          <w:lang w:val="fr-FR"/>
        </w:rPr>
        <w:t>acquitter de leurs t</w:t>
      </w:r>
      <w:r w:rsidR="007A01CB" w:rsidRPr="00130C7A">
        <w:rPr>
          <w:rFonts w:ascii="Times New Roman" w:eastAsia="Times New Roman" w:hAnsi="Times New Roman" w:cs="Times New Roman"/>
          <w:lang w:val="fr-FR"/>
        </w:rPr>
        <w:t>â</w:t>
      </w:r>
      <w:r w:rsidR="00BD16E4" w:rsidRPr="00130C7A">
        <w:rPr>
          <w:rFonts w:ascii="Times New Roman" w:eastAsia="Times New Roman" w:hAnsi="Times New Roman" w:cs="Times New Roman"/>
          <w:lang w:val="fr-FR"/>
        </w:rPr>
        <w:t>ches en respectant la dignité et la liberté de l</w:t>
      </w:r>
      <w:r w:rsidR="00130C7A" w:rsidRPr="00130C7A">
        <w:rPr>
          <w:rFonts w:ascii="Times New Roman" w:eastAsia="Times New Roman" w:hAnsi="Times New Roman" w:cs="Times New Roman"/>
          <w:lang w:val="fr-FR"/>
        </w:rPr>
        <w:t>’</w:t>
      </w:r>
      <w:r w:rsidR="00BD16E4" w:rsidRPr="00130C7A">
        <w:rPr>
          <w:rFonts w:ascii="Times New Roman" w:eastAsia="Times New Roman" w:hAnsi="Times New Roman" w:cs="Times New Roman"/>
          <w:lang w:val="fr-FR"/>
        </w:rPr>
        <w:t>homme. Ainsi, la Cour a reconnu que d</w:t>
      </w:r>
      <w:r w:rsidR="00EE3762" w:rsidRPr="00130C7A">
        <w:rPr>
          <w:rFonts w:ascii="Times New Roman" w:eastAsia="Times New Roman" w:hAnsi="Times New Roman" w:cs="Times New Roman"/>
          <w:lang w:val="fr-FR"/>
        </w:rPr>
        <w:t>es mes</w:t>
      </w:r>
      <w:r w:rsidRPr="00130C7A">
        <w:rPr>
          <w:rFonts w:ascii="Times New Roman" w:eastAsia="Times New Roman" w:hAnsi="Times New Roman" w:cs="Times New Roman"/>
          <w:lang w:val="fr-FR"/>
        </w:rPr>
        <w:t>ures excessivement restrictives et</w:t>
      </w:r>
      <w:r w:rsidR="00EE3762" w:rsidRPr="00130C7A">
        <w:rPr>
          <w:rFonts w:ascii="Times New Roman" w:eastAsia="Times New Roman" w:hAnsi="Times New Roman" w:cs="Times New Roman"/>
          <w:lang w:val="fr-FR"/>
        </w:rPr>
        <w:t xml:space="preserve"> susceptibles d</w:t>
      </w:r>
      <w:r w:rsidR="00130C7A" w:rsidRPr="00130C7A">
        <w:rPr>
          <w:rFonts w:ascii="Times New Roman" w:eastAsia="Times New Roman" w:hAnsi="Times New Roman" w:cs="Times New Roman"/>
          <w:lang w:val="fr-FR"/>
        </w:rPr>
        <w:t>’</w:t>
      </w:r>
      <w:r w:rsidR="00EE3762" w:rsidRPr="00130C7A">
        <w:rPr>
          <w:lang w:val="fr-FR"/>
        </w:rPr>
        <w:t>empiéter sur l</w:t>
      </w:r>
      <w:r w:rsidR="00130C7A" w:rsidRPr="00130C7A">
        <w:rPr>
          <w:lang w:val="fr-FR"/>
        </w:rPr>
        <w:t>’</w:t>
      </w:r>
      <w:r w:rsidR="00EE3762" w:rsidRPr="00130C7A">
        <w:rPr>
          <w:lang w:val="fr-FR"/>
        </w:rPr>
        <w:t xml:space="preserve">autonomie individuelle de la personne sans </w:t>
      </w:r>
      <w:r w:rsidRPr="00130C7A">
        <w:rPr>
          <w:lang w:val="fr-FR"/>
        </w:rPr>
        <w:t>justification adéquate</w:t>
      </w:r>
      <w:r w:rsidR="00EE3762" w:rsidRPr="00130C7A">
        <w:rPr>
          <w:lang w:val="fr-FR"/>
        </w:rPr>
        <w:t xml:space="preserve"> peuvent soulever des problèmes au regard des articles 3, 5 et 8 de la Convention</w:t>
      </w:r>
      <w:r w:rsidR="00BD16E4" w:rsidRPr="00130C7A">
        <w:rPr>
          <w:lang w:val="fr-FR"/>
        </w:rPr>
        <w:t xml:space="preserve"> (</w:t>
      </w:r>
      <w:proofErr w:type="spellStart"/>
      <w:r w:rsidR="00BD16E4" w:rsidRPr="00130C7A">
        <w:rPr>
          <w:i/>
          <w:lang w:val="fr-FR"/>
        </w:rPr>
        <w:t>Keenan</w:t>
      </w:r>
      <w:proofErr w:type="spellEnd"/>
      <w:r w:rsidR="00BD16E4" w:rsidRPr="00130C7A">
        <w:rPr>
          <w:lang w:val="fr-FR"/>
        </w:rPr>
        <w:t>, précité, § 92</w:t>
      </w:r>
      <w:r w:rsidR="007A01CB" w:rsidRPr="00130C7A">
        <w:rPr>
          <w:lang w:val="fr-FR"/>
        </w:rPr>
        <w:t>, et</w:t>
      </w:r>
      <w:r w:rsidR="00BD16E4" w:rsidRPr="00130C7A">
        <w:rPr>
          <w:lang w:val="fr-FR"/>
        </w:rPr>
        <w:t xml:space="preserve"> </w:t>
      </w:r>
      <w:r w:rsidR="00BD16E4" w:rsidRPr="00130C7A">
        <w:rPr>
          <w:i/>
          <w:lang w:val="fr-FR"/>
        </w:rPr>
        <w:t>Fernandes de Oliveira</w:t>
      </w:r>
      <w:r w:rsidR="00BD16E4" w:rsidRPr="00130C7A">
        <w:rPr>
          <w:lang w:val="fr-FR"/>
        </w:rPr>
        <w:t>, précité, § 112).</w:t>
      </w:r>
    </w:p>
    <w:p w:rsidR="001E0028" w:rsidRPr="00130C7A" w:rsidRDefault="002A6FEC" w:rsidP="00130C7A">
      <w:pPr>
        <w:pStyle w:val="ECHRPara"/>
        <w:rPr>
          <w:lang w:val="fr-FR"/>
        </w:rPr>
      </w:pPr>
      <w:r w:rsidRPr="00130C7A">
        <w:rPr>
          <w:rFonts w:ascii="Times New Roman" w:eastAsia="Times New Roman" w:hAnsi="Times New Roman" w:cs="Times New Roman"/>
          <w:lang w:val="fr-FR"/>
        </w:rPr>
        <w:fldChar w:fldCharType="begin"/>
      </w:r>
      <w:r w:rsidRPr="00130C7A">
        <w:rPr>
          <w:rFonts w:ascii="Times New Roman" w:eastAsia="Times New Roman" w:hAnsi="Times New Roman" w:cs="Times New Roman"/>
          <w:lang w:val="fr-FR"/>
        </w:rPr>
        <w:instrText xml:space="preserve"> SEQ level0 \*arabic </w:instrText>
      </w:r>
      <w:r w:rsidRPr="00130C7A">
        <w:rPr>
          <w:rFonts w:ascii="Times New Roman" w:eastAsia="Times New Roman" w:hAnsi="Times New Roman" w:cs="Times New Roman"/>
          <w:lang w:val="fr-FR"/>
        </w:rPr>
        <w:fldChar w:fldCharType="separate"/>
      </w:r>
      <w:r w:rsidR="00130C7A" w:rsidRPr="00130C7A">
        <w:rPr>
          <w:rFonts w:ascii="Times New Roman" w:eastAsia="Times New Roman" w:hAnsi="Times New Roman" w:cs="Times New Roman"/>
          <w:noProof/>
          <w:lang w:val="fr-FR"/>
        </w:rPr>
        <w:t>87</w:t>
      </w:r>
      <w:r w:rsidRPr="00130C7A">
        <w:rPr>
          <w:rFonts w:ascii="Times New Roman" w:eastAsia="Times New Roman" w:hAnsi="Times New Roman" w:cs="Times New Roman"/>
          <w:lang w:val="fr-FR"/>
        </w:rPr>
        <w:fldChar w:fldCharType="end"/>
      </w:r>
      <w:r w:rsidRPr="00130C7A">
        <w:rPr>
          <w:rFonts w:ascii="Times New Roman" w:eastAsia="Times New Roman" w:hAnsi="Times New Roman" w:cs="Times New Roman"/>
          <w:lang w:val="fr-FR"/>
        </w:rPr>
        <w:t>.  </w:t>
      </w:r>
      <w:r w:rsidR="00FA6440" w:rsidRPr="00130C7A">
        <w:rPr>
          <w:rFonts w:ascii="Times New Roman" w:eastAsia="Times New Roman" w:hAnsi="Times New Roman" w:cs="Times New Roman"/>
          <w:lang w:val="fr-FR"/>
        </w:rPr>
        <w:t>En outre</w:t>
      </w:r>
      <w:r w:rsidR="002B50A4" w:rsidRPr="00130C7A">
        <w:rPr>
          <w:lang w:val="fr-FR"/>
        </w:rPr>
        <w:t>, il convient d</w:t>
      </w:r>
      <w:r w:rsidR="00130C7A" w:rsidRPr="00130C7A">
        <w:rPr>
          <w:lang w:val="fr-FR"/>
        </w:rPr>
        <w:t>’</w:t>
      </w:r>
      <w:r w:rsidR="002B50A4" w:rsidRPr="00130C7A">
        <w:rPr>
          <w:lang w:val="fr-FR"/>
        </w:rPr>
        <w:t>obse</w:t>
      </w:r>
      <w:r w:rsidR="006B77AC" w:rsidRPr="00130C7A">
        <w:rPr>
          <w:lang w:val="fr-FR"/>
        </w:rPr>
        <w:t>r</w:t>
      </w:r>
      <w:r w:rsidR="002B50A4" w:rsidRPr="00130C7A">
        <w:rPr>
          <w:lang w:val="fr-FR"/>
        </w:rPr>
        <w:t>ver qu</w:t>
      </w:r>
      <w:r w:rsidR="005945AB" w:rsidRPr="00130C7A">
        <w:rPr>
          <w:lang w:val="fr-FR"/>
        </w:rPr>
        <w:t xml:space="preserve">e </w:t>
      </w:r>
      <w:r w:rsidR="002B50A4" w:rsidRPr="00130C7A">
        <w:rPr>
          <w:lang w:val="fr-FR"/>
        </w:rPr>
        <w:t>A. n</w:t>
      </w:r>
      <w:r w:rsidR="00130C7A" w:rsidRPr="00130C7A">
        <w:rPr>
          <w:lang w:val="fr-FR"/>
        </w:rPr>
        <w:t>’</w:t>
      </w:r>
      <w:r w:rsidR="007A01CB" w:rsidRPr="00130C7A">
        <w:rPr>
          <w:lang w:val="fr-FR"/>
        </w:rPr>
        <w:t>avait montré</w:t>
      </w:r>
      <w:r w:rsidR="002B50A4" w:rsidRPr="00130C7A">
        <w:rPr>
          <w:lang w:val="fr-FR"/>
        </w:rPr>
        <w:t xml:space="preserve"> </w:t>
      </w:r>
      <w:r w:rsidR="005B7231" w:rsidRPr="00130C7A">
        <w:rPr>
          <w:lang w:val="fr-FR"/>
        </w:rPr>
        <w:t>a</w:t>
      </w:r>
      <w:r w:rsidR="002B50A4" w:rsidRPr="00130C7A">
        <w:rPr>
          <w:lang w:val="fr-FR"/>
        </w:rPr>
        <w:t>ucun signe de détresse physique ou mentale dans les jours ayant immédiatement précédé son décès</w:t>
      </w:r>
      <w:r w:rsidR="005B7231" w:rsidRPr="00130C7A">
        <w:rPr>
          <w:lang w:val="fr-FR"/>
        </w:rPr>
        <w:t xml:space="preserve">. </w:t>
      </w:r>
      <w:r w:rsidR="00AD3B03" w:rsidRPr="00130C7A">
        <w:rPr>
          <w:lang w:val="fr-FR"/>
        </w:rPr>
        <w:t>De plus</w:t>
      </w:r>
      <w:r w:rsidR="005B7231" w:rsidRPr="00130C7A">
        <w:rPr>
          <w:lang w:val="fr-FR"/>
        </w:rPr>
        <w:t xml:space="preserve">, </w:t>
      </w:r>
      <w:r w:rsidR="00A068FA" w:rsidRPr="00130C7A">
        <w:rPr>
          <w:lang w:val="fr-FR"/>
        </w:rPr>
        <w:t>s</w:t>
      </w:r>
      <w:r w:rsidR="00E255CC" w:rsidRPr="00130C7A">
        <w:rPr>
          <w:lang w:val="fr-FR"/>
        </w:rPr>
        <w:t>a consommation</w:t>
      </w:r>
      <w:r w:rsidR="002B50A4" w:rsidRPr="00130C7A">
        <w:rPr>
          <w:lang w:val="fr-FR"/>
        </w:rPr>
        <w:t xml:space="preserve"> de cartouches</w:t>
      </w:r>
      <w:r w:rsidR="005B7231" w:rsidRPr="00130C7A">
        <w:rPr>
          <w:lang w:val="fr-FR"/>
        </w:rPr>
        <w:t xml:space="preserve"> de gaz</w:t>
      </w:r>
      <w:r w:rsidR="00AD3B03" w:rsidRPr="00130C7A">
        <w:rPr>
          <w:lang w:val="fr-FR"/>
        </w:rPr>
        <w:t xml:space="preserve">, qui avait toujours été </w:t>
      </w:r>
      <w:r w:rsidR="00D75D5E" w:rsidRPr="00130C7A">
        <w:rPr>
          <w:lang w:val="fr-FR"/>
        </w:rPr>
        <w:t>compa</w:t>
      </w:r>
      <w:r w:rsidR="007A01CB" w:rsidRPr="00130C7A">
        <w:rPr>
          <w:lang w:val="fr-FR"/>
        </w:rPr>
        <w:t>rable à</w:t>
      </w:r>
      <w:r w:rsidR="009F2D07" w:rsidRPr="00130C7A">
        <w:rPr>
          <w:lang w:val="fr-FR"/>
        </w:rPr>
        <w:t xml:space="preserve"> </w:t>
      </w:r>
      <w:r w:rsidR="00E255CC" w:rsidRPr="00130C7A">
        <w:rPr>
          <w:lang w:val="fr-FR"/>
        </w:rPr>
        <w:t>celle</w:t>
      </w:r>
      <w:r w:rsidR="00D75D5E" w:rsidRPr="00130C7A">
        <w:rPr>
          <w:lang w:val="fr-FR"/>
        </w:rPr>
        <w:t xml:space="preserve"> des autres détenus de la prison</w:t>
      </w:r>
      <w:r w:rsidR="00AD3B03" w:rsidRPr="00130C7A">
        <w:rPr>
          <w:lang w:val="fr-FR"/>
        </w:rPr>
        <w:t>,</w:t>
      </w:r>
      <w:r w:rsidR="00D75D5E" w:rsidRPr="00130C7A">
        <w:rPr>
          <w:lang w:val="fr-FR"/>
        </w:rPr>
        <w:t xml:space="preserve"> </w:t>
      </w:r>
      <w:r w:rsidR="002B50A4" w:rsidRPr="00130C7A">
        <w:rPr>
          <w:lang w:val="fr-FR"/>
        </w:rPr>
        <w:t>n</w:t>
      </w:r>
      <w:r w:rsidR="00130C7A" w:rsidRPr="00130C7A">
        <w:rPr>
          <w:lang w:val="fr-FR"/>
        </w:rPr>
        <w:t>’</w:t>
      </w:r>
      <w:r w:rsidR="002B50A4" w:rsidRPr="00130C7A">
        <w:rPr>
          <w:lang w:val="fr-FR"/>
        </w:rPr>
        <w:t>a</w:t>
      </w:r>
      <w:r w:rsidR="007A01CB" w:rsidRPr="00130C7A">
        <w:rPr>
          <w:lang w:val="fr-FR"/>
        </w:rPr>
        <w:t>vait pas a</w:t>
      </w:r>
      <w:r w:rsidR="002B50A4" w:rsidRPr="00130C7A">
        <w:rPr>
          <w:lang w:val="fr-FR"/>
        </w:rPr>
        <w:t>ugment</w:t>
      </w:r>
      <w:r w:rsidR="007A01CB" w:rsidRPr="00130C7A">
        <w:rPr>
          <w:lang w:val="fr-FR"/>
        </w:rPr>
        <w:t xml:space="preserve">é </w:t>
      </w:r>
      <w:r w:rsidR="00CC3628" w:rsidRPr="00130C7A">
        <w:rPr>
          <w:lang w:val="fr-FR"/>
        </w:rPr>
        <w:t>au cours de cette</w:t>
      </w:r>
      <w:r w:rsidR="007A01CB" w:rsidRPr="00130C7A">
        <w:rPr>
          <w:lang w:val="fr-FR"/>
        </w:rPr>
        <w:t xml:space="preserve"> même période</w:t>
      </w:r>
      <w:r w:rsidR="002B50A4" w:rsidRPr="00130C7A">
        <w:rPr>
          <w:lang w:val="fr-FR"/>
        </w:rPr>
        <w:t xml:space="preserve"> (paragraphe </w:t>
      </w:r>
      <w:r w:rsidR="003859FC" w:rsidRPr="00130C7A">
        <w:rPr>
          <w:lang w:val="fr-FR"/>
        </w:rPr>
        <w:t>27</w:t>
      </w:r>
      <w:r w:rsidR="00D75D5E" w:rsidRPr="00130C7A">
        <w:rPr>
          <w:lang w:val="fr-FR"/>
        </w:rPr>
        <w:t xml:space="preserve"> ci-dessus)</w:t>
      </w:r>
      <w:r w:rsidR="00E255CC" w:rsidRPr="00130C7A">
        <w:rPr>
          <w:lang w:val="fr-FR"/>
        </w:rPr>
        <w:t>.</w:t>
      </w:r>
      <w:r w:rsidR="001C7B14" w:rsidRPr="00130C7A">
        <w:rPr>
          <w:rFonts w:ascii="Times New Roman" w:eastAsia="Times New Roman" w:hAnsi="Times New Roman" w:cs="Times New Roman"/>
          <w:lang w:val="fr-FR"/>
        </w:rPr>
        <w:t xml:space="preserve"> </w:t>
      </w:r>
      <w:r w:rsidR="00A068FA" w:rsidRPr="00130C7A">
        <w:rPr>
          <w:lang w:val="fr-FR"/>
        </w:rPr>
        <w:t>La C</w:t>
      </w:r>
      <w:r w:rsidR="001447F0" w:rsidRPr="00130C7A">
        <w:rPr>
          <w:lang w:val="fr-FR"/>
        </w:rPr>
        <w:t>our en dé</w:t>
      </w:r>
      <w:r w:rsidR="00EA2D7C" w:rsidRPr="00130C7A">
        <w:rPr>
          <w:lang w:val="fr-FR"/>
        </w:rPr>
        <w:t xml:space="preserve">duit </w:t>
      </w:r>
      <w:r w:rsidR="007B2E91" w:rsidRPr="00130C7A">
        <w:rPr>
          <w:lang w:val="fr-FR"/>
        </w:rPr>
        <w:t xml:space="preserve">que les </w:t>
      </w:r>
      <w:r w:rsidR="001447F0" w:rsidRPr="00130C7A">
        <w:rPr>
          <w:lang w:val="fr-FR"/>
        </w:rPr>
        <w:t>autorités n</w:t>
      </w:r>
      <w:r w:rsidR="00130C7A" w:rsidRPr="00130C7A">
        <w:rPr>
          <w:lang w:val="fr-FR"/>
        </w:rPr>
        <w:t>’</w:t>
      </w:r>
      <w:r w:rsidR="001447F0" w:rsidRPr="00130C7A">
        <w:rPr>
          <w:lang w:val="fr-FR"/>
        </w:rPr>
        <w:t>avaient aucune raison de craindre</w:t>
      </w:r>
      <w:r w:rsidR="00994556" w:rsidRPr="00130C7A">
        <w:rPr>
          <w:lang w:val="fr-FR"/>
        </w:rPr>
        <w:t xml:space="preserve"> un risque immédiat </w:t>
      </w:r>
      <w:r w:rsidR="007A01CB" w:rsidRPr="00130C7A">
        <w:rPr>
          <w:lang w:val="fr-FR"/>
        </w:rPr>
        <w:t xml:space="preserve">de voir </w:t>
      </w:r>
      <w:r w:rsidR="00994556" w:rsidRPr="00130C7A">
        <w:rPr>
          <w:lang w:val="fr-FR"/>
        </w:rPr>
        <w:t>le neveu du requérant</w:t>
      </w:r>
      <w:r w:rsidR="0080743D" w:rsidRPr="00130C7A">
        <w:rPr>
          <w:lang w:val="fr-FR"/>
        </w:rPr>
        <w:t xml:space="preserve"> agi</w:t>
      </w:r>
      <w:r w:rsidR="007A01CB" w:rsidRPr="00130C7A">
        <w:rPr>
          <w:lang w:val="fr-FR"/>
        </w:rPr>
        <w:t>r</w:t>
      </w:r>
      <w:r w:rsidR="0080743D" w:rsidRPr="00130C7A">
        <w:rPr>
          <w:lang w:val="fr-FR"/>
        </w:rPr>
        <w:t xml:space="preserve"> de manière à mettre </w:t>
      </w:r>
      <w:r w:rsidR="00AD3B03" w:rsidRPr="00130C7A">
        <w:rPr>
          <w:lang w:val="fr-FR"/>
        </w:rPr>
        <w:t xml:space="preserve">en péril </w:t>
      </w:r>
      <w:r w:rsidR="007F25E9" w:rsidRPr="00130C7A">
        <w:rPr>
          <w:lang w:val="fr-FR"/>
        </w:rPr>
        <w:t xml:space="preserve">sa vie ou </w:t>
      </w:r>
      <w:r w:rsidR="00AD3B03" w:rsidRPr="00130C7A">
        <w:rPr>
          <w:lang w:val="fr-FR"/>
        </w:rPr>
        <w:t>son intégrité physique.</w:t>
      </w:r>
    </w:p>
    <w:p w:rsidR="0011133E" w:rsidRPr="00130C7A" w:rsidRDefault="002A6FEC"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88</w:t>
      </w:r>
      <w:r w:rsidRPr="00130C7A">
        <w:rPr>
          <w:lang w:val="fr-FR"/>
        </w:rPr>
        <w:fldChar w:fldCharType="end"/>
      </w:r>
      <w:r w:rsidRPr="00130C7A">
        <w:rPr>
          <w:lang w:val="fr-FR"/>
        </w:rPr>
        <w:t>.  </w:t>
      </w:r>
      <w:r w:rsidR="006A2935" w:rsidRPr="00130C7A">
        <w:rPr>
          <w:lang w:val="fr-FR"/>
        </w:rPr>
        <w:t>Compte tenu de ce qui</w:t>
      </w:r>
      <w:r w:rsidR="000746D0" w:rsidRPr="00130C7A">
        <w:rPr>
          <w:lang w:val="fr-FR"/>
        </w:rPr>
        <w:t xml:space="preserve"> précède,</w:t>
      </w:r>
      <w:r w:rsidR="00414686" w:rsidRPr="00130C7A">
        <w:rPr>
          <w:lang w:val="fr-FR"/>
        </w:rPr>
        <w:t xml:space="preserve"> </w:t>
      </w:r>
      <w:r w:rsidR="009A48CD" w:rsidRPr="00130C7A">
        <w:rPr>
          <w:lang w:val="fr-FR"/>
        </w:rPr>
        <w:t xml:space="preserve">et </w:t>
      </w:r>
      <w:r w:rsidR="00414686" w:rsidRPr="00130C7A">
        <w:rPr>
          <w:lang w:val="fr-FR"/>
        </w:rPr>
        <w:t>ayant à l</w:t>
      </w:r>
      <w:r w:rsidR="00130C7A" w:rsidRPr="00130C7A">
        <w:rPr>
          <w:lang w:val="fr-FR"/>
        </w:rPr>
        <w:t>’</w:t>
      </w:r>
      <w:r w:rsidR="00414686" w:rsidRPr="00130C7A">
        <w:rPr>
          <w:lang w:val="fr-FR"/>
        </w:rPr>
        <w:t>esprit que</w:t>
      </w:r>
      <w:r w:rsidR="000746D0" w:rsidRPr="00130C7A">
        <w:rPr>
          <w:lang w:val="fr-FR"/>
        </w:rPr>
        <w:t xml:space="preserve"> </w:t>
      </w:r>
      <w:r w:rsidR="00414686" w:rsidRPr="00130C7A">
        <w:rPr>
          <w:lang w:val="fr-FR"/>
        </w:rPr>
        <w:t>l</w:t>
      </w:r>
      <w:r w:rsidR="00130C7A" w:rsidRPr="00130C7A">
        <w:rPr>
          <w:lang w:val="fr-FR"/>
        </w:rPr>
        <w:t>’</w:t>
      </w:r>
      <w:r w:rsidR="00414686" w:rsidRPr="00130C7A">
        <w:rPr>
          <w:lang w:val="fr-FR"/>
        </w:rPr>
        <w:t>obligation positive incombant à l</w:t>
      </w:r>
      <w:r w:rsidR="00130C7A" w:rsidRPr="00130C7A">
        <w:rPr>
          <w:lang w:val="fr-FR"/>
        </w:rPr>
        <w:t>’</w:t>
      </w:r>
      <w:r w:rsidR="00414686" w:rsidRPr="00130C7A">
        <w:rPr>
          <w:lang w:val="fr-FR"/>
        </w:rPr>
        <w:t xml:space="preserve">État doit être interprétée de manière à ne pas imposer aux autorités un fardeau insupportable ou excessif, </w:t>
      </w:r>
      <w:r w:rsidR="000746D0" w:rsidRPr="00130C7A">
        <w:rPr>
          <w:lang w:val="fr-FR"/>
        </w:rPr>
        <w:t xml:space="preserve">la Cour conclut </w:t>
      </w:r>
      <w:r w:rsidR="00414686" w:rsidRPr="00130C7A">
        <w:rPr>
          <w:lang w:val="fr-FR"/>
        </w:rPr>
        <w:t>qu</w:t>
      </w:r>
      <w:r w:rsidR="00130C7A" w:rsidRPr="00130C7A">
        <w:rPr>
          <w:lang w:val="fr-FR"/>
        </w:rPr>
        <w:t>’</w:t>
      </w:r>
      <w:r w:rsidR="000746D0" w:rsidRPr="00130C7A">
        <w:rPr>
          <w:lang w:val="fr-FR"/>
        </w:rPr>
        <w:t>il n</w:t>
      </w:r>
      <w:r w:rsidR="00130C7A" w:rsidRPr="00130C7A">
        <w:rPr>
          <w:lang w:val="fr-FR"/>
        </w:rPr>
        <w:t>’</w:t>
      </w:r>
      <w:r w:rsidR="000746D0" w:rsidRPr="00130C7A">
        <w:rPr>
          <w:lang w:val="fr-FR"/>
        </w:rPr>
        <w:t xml:space="preserve">a </w:t>
      </w:r>
      <w:r w:rsidR="000746D0" w:rsidRPr="00130C7A">
        <w:rPr>
          <w:lang w:val="fr-FR"/>
        </w:rPr>
        <w:lastRenderedPageBreak/>
        <w:t>pas été établi</w:t>
      </w:r>
      <w:r w:rsidR="006D28BC" w:rsidRPr="00130C7A">
        <w:rPr>
          <w:lang w:val="fr-FR"/>
        </w:rPr>
        <w:t>, d</w:t>
      </w:r>
      <w:r w:rsidR="00130C7A" w:rsidRPr="00130C7A">
        <w:rPr>
          <w:lang w:val="fr-FR"/>
        </w:rPr>
        <w:t>’</w:t>
      </w:r>
      <w:r w:rsidR="006D28BC" w:rsidRPr="00130C7A">
        <w:rPr>
          <w:lang w:val="fr-FR"/>
        </w:rPr>
        <w:t>une part,</w:t>
      </w:r>
      <w:r w:rsidR="000746D0" w:rsidRPr="00130C7A">
        <w:rPr>
          <w:lang w:val="fr-FR"/>
        </w:rPr>
        <w:t xml:space="preserve"> que les autorités savaient ou auraient dû savoir qu</w:t>
      </w:r>
      <w:r w:rsidR="00130C7A" w:rsidRPr="00130C7A">
        <w:rPr>
          <w:lang w:val="fr-FR"/>
        </w:rPr>
        <w:t>’</w:t>
      </w:r>
      <w:r w:rsidR="000746D0" w:rsidRPr="00130C7A">
        <w:rPr>
          <w:lang w:val="fr-FR"/>
        </w:rPr>
        <w:t>il existait un risque</w:t>
      </w:r>
      <w:r w:rsidR="00414686" w:rsidRPr="00130C7A">
        <w:rPr>
          <w:lang w:val="fr-FR"/>
        </w:rPr>
        <w:t xml:space="preserve"> réel et </w:t>
      </w:r>
      <w:r w:rsidR="000746D0" w:rsidRPr="00130C7A">
        <w:rPr>
          <w:lang w:val="fr-FR"/>
        </w:rPr>
        <w:t xml:space="preserve">immédiat pour la vie </w:t>
      </w:r>
      <w:r w:rsidR="00414686" w:rsidRPr="00130C7A">
        <w:rPr>
          <w:lang w:val="fr-FR"/>
        </w:rPr>
        <w:t>d</w:t>
      </w:r>
      <w:r w:rsidR="005945AB" w:rsidRPr="00130C7A">
        <w:rPr>
          <w:lang w:val="fr-FR"/>
        </w:rPr>
        <w:t xml:space="preserve">e </w:t>
      </w:r>
      <w:r w:rsidR="00414686" w:rsidRPr="00130C7A">
        <w:rPr>
          <w:lang w:val="fr-FR"/>
        </w:rPr>
        <w:t>A.</w:t>
      </w:r>
      <w:r w:rsidR="000746D0" w:rsidRPr="00130C7A">
        <w:rPr>
          <w:lang w:val="fr-FR"/>
        </w:rPr>
        <w:t xml:space="preserve"> et</w:t>
      </w:r>
      <w:r w:rsidR="006D28BC" w:rsidRPr="00130C7A">
        <w:rPr>
          <w:lang w:val="fr-FR"/>
        </w:rPr>
        <w:t>, d</w:t>
      </w:r>
      <w:r w:rsidR="00130C7A" w:rsidRPr="00130C7A">
        <w:rPr>
          <w:lang w:val="fr-FR"/>
        </w:rPr>
        <w:t>’</w:t>
      </w:r>
      <w:r w:rsidR="006D28BC" w:rsidRPr="00130C7A">
        <w:rPr>
          <w:lang w:val="fr-FR"/>
        </w:rPr>
        <w:t>autre part,</w:t>
      </w:r>
      <w:r w:rsidR="000746D0" w:rsidRPr="00130C7A">
        <w:rPr>
          <w:lang w:val="fr-FR"/>
        </w:rPr>
        <w:t xml:space="preserve"> qu</w:t>
      </w:r>
      <w:r w:rsidR="00130C7A" w:rsidRPr="00130C7A">
        <w:rPr>
          <w:lang w:val="fr-FR"/>
        </w:rPr>
        <w:t>’</w:t>
      </w:r>
      <w:r w:rsidR="000746D0" w:rsidRPr="00130C7A">
        <w:rPr>
          <w:lang w:val="fr-FR"/>
        </w:rPr>
        <w:t>elles n</w:t>
      </w:r>
      <w:r w:rsidR="00130C7A" w:rsidRPr="00130C7A">
        <w:rPr>
          <w:lang w:val="fr-FR"/>
        </w:rPr>
        <w:t>’</w:t>
      </w:r>
      <w:r w:rsidR="009A48CD" w:rsidRPr="00130C7A">
        <w:rPr>
          <w:lang w:val="fr-FR"/>
        </w:rPr>
        <w:t>ont</w:t>
      </w:r>
      <w:r w:rsidR="000746D0" w:rsidRPr="00130C7A">
        <w:rPr>
          <w:lang w:val="fr-FR"/>
        </w:rPr>
        <w:t xml:space="preserve"> pas pris les mesures que l</w:t>
      </w:r>
      <w:r w:rsidR="00130C7A" w:rsidRPr="00130C7A">
        <w:rPr>
          <w:lang w:val="fr-FR"/>
        </w:rPr>
        <w:t>’</w:t>
      </w:r>
      <w:r w:rsidR="000746D0" w:rsidRPr="00130C7A">
        <w:rPr>
          <w:lang w:val="fr-FR"/>
        </w:rPr>
        <w:t>on pouvait raisonnablement attendre d</w:t>
      </w:r>
      <w:r w:rsidR="00130C7A" w:rsidRPr="00130C7A">
        <w:rPr>
          <w:lang w:val="fr-FR"/>
        </w:rPr>
        <w:t>’</w:t>
      </w:r>
      <w:r w:rsidR="000746D0" w:rsidRPr="00130C7A">
        <w:rPr>
          <w:lang w:val="fr-FR"/>
        </w:rPr>
        <w:t>elles</w:t>
      </w:r>
      <w:r w:rsidR="00414686" w:rsidRPr="00130C7A">
        <w:rPr>
          <w:lang w:val="fr-FR"/>
        </w:rPr>
        <w:t>.</w:t>
      </w:r>
    </w:p>
    <w:p w:rsidR="00240AC9" w:rsidRPr="00130C7A" w:rsidRDefault="002A6FEC"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89</w:t>
      </w:r>
      <w:r w:rsidRPr="00130C7A">
        <w:rPr>
          <w:lang w:val="fr-FR"/>
        </w:rPr>
        <w:fldChar w:fldCharType="end"/>
      </w:r>
      <w:r w:rsidRPr="00130C7A">
        <w:rPr>
          <w:lang w:val="fr-FR"/>
        </w:rPr>
        <w:t>.  </w:t>
      </w:r>
      <w:r w:rsidR="00414686" w:rsidRPr="00130C7A">
        <w:rPr>
          <w:lang w:val="fr-FR"/>
        </w:rPr>
        <w:t>Partant, il n</w:t>
      </w:r>
      <w:r w:rsidR="00130C7A" w:rsidRPr="00130C7A">
        <w:rPr>
          <w:lang w:val="fr-FR"/>
        </w:rPr>
        <w:t>’</w:t>
      </w:r>
      <w:r w:rsidR="004A1589" w:rsidRPr="00130C7A">
        <w:rPr>
          <w:lang w:val="fr-FR"/>
        </w:rPr>
        <w:t xml:space="preserve">y </w:t>
      </w:r>
      <w:r w:rsidR="00414686" w:rsidRPr="00130C7A">
        <w:rPr>
          <w:lang w:val="fr-FR"/>
        </w:rPr>
        <w:t>a pas eu violation de l</w:t>
      </w:r>
      <w:r w:rsidR="00130C7A" w:rsidRPr="00130C7A">
        <w:rPr>
          <w:lang w:val="fr-FR"/>
        </w:rPr>
        <w:t>’</w:t>
      </w:r>
      <w:r w:rsidR="00414686" w:rsidRPr="00130C7A">
        <w:rPr>
          <w:lang w:val="fr-FR"/>
        </w:rPr>
        <w:t>article 2</w:t>
      </w:r>
      <w:r w:rsidR="009A48CD" w:rsidRPr="00130C7A">
        <w:rPr>
          <w:lang w:val="fr-FR"/>
        </w:rPr>
        <w:t xml:space="preserve"> de la Convention sous</w:t>
      </w:r>
      <w:r w:rsidR="00414686" w:rsidRPr="00130C7A">
        <w:rPr>
          <w:lang w:val="fr-FR"/>
        </w:rPr>
        <w:t xml:space="preserve"> son volet </w:t>
      </w:r>
      <w:r w:rsidR="009C5F34" w:rsidRPr="00130C7A">
        <w:rPr>
          <w:lang w:val="fr-FR"/>
        </w:rPr>
        <w:t>substantiel</w:t>
      </w:r>
      <w:r w:rsidR="00450B53" w:rsidRPr="00130C7A">
        <w:rPr>
          <w:lang w:val="fr-FR"/>
        </w:rPr>
        <w:t xml:space="preserve"> </w:t>
      </w:r>
      <w:r w:rsidR="009D1E0D" w:rsidRPr="00130C7A">
        <w:rPr>
          <w:lang w:val="fr-FR"/>
        </w:rPr>
        <w:t>dans les circonstances de l</w:t>
      </w:r>
      <w:r w:rsidR="00130C7A" w:rsidRPr="00130C7A">
        <w:rPr>
          <w:lang w:val="fr-FR"/>
        </w:rPr>
        <w:t>’</w:t>
      </w:r>
      <w:r w:rsidR="009D1E0D" w:rsidRPr="00130C7A">
        <w:rPr>
          <w:lang w:val="fr-FR"/>
        </w:rPr>
        <w:t>espè</w:t>
      </w:r>
      <w:r w:rsidR="00450B53" w:rsidRPr="00130C7A">
        <w:rPr>
          <w:lang w:val="fr-FR"/>
        </w:rPr>
        <w:t>ce</w:t>
      </w:r>
      <w:r w:rsidR="00414686" w:rsidRPr="00130C7A">
        <w:rPr>
          <w:lang w:val="fr-FR"/>
        </w:rPr>
        <w:t>.</w:t>
      </w:r>
    </w:p>
    <w:p w:rsidR="00041814" w:rsidRPr="00130C7A" w:rsidRDefault="00C67E4E" w:rsidP="00130C7A">
      <w:pPr>
        <w:pStyle w:val="ECHRHeading4"/>
        <w:rPr>
          <w:lang w:val="fr-FR"/>
        </w:rPr>
      </w:pPr>
      <w:r w:rsidRPr="00130C7A">
        <w:rPr>
          <w:lang w:val="fr-FR"/>
        </w:rPr>
        <w:t>b</w:t>
      </w:r>
      <w:r w:rsidR="007D1E06" w:rsidRPr="00130C7A">
        <w:rPr>
          <w:lang w:val="fr-FR"/>
        </w:rPr>
        <w:t>)</w:t>
      </w:r>
      <w:r w:rsidR="002F5E37" w:rsidRPr="00130C7A">
        <w:rPr>
          <w:lang w:val="fr-FR"/>
        </w:rPr>
        <w:t>  Sur l</w:t>
      </w:r>
      <w:r w:rsidR="00130C7A" w:rsidRPr="00130C7A">
        <w:rPr>
          <w:lang w:val="fr-FR"/>
        </w:rPr>
        <w:t>’</w:t>
      </w:r>
      <w:r w:rsidR="002F5E37" w:rsidRPr="00130C7A">
        <w:rPr>
          <w:lang w:val="fr-FR"/>
        </w:rPr>
        <w:t>obligation procédurale</w:t>
      </w:r>
      <w:r w:rsidR="00444A50" w:rsidRPr="00130C7A">
        <w:rPr>
          <w:lang w:val="fr-FR"/>
        </w:rPr>
        <w:t xml:space="preserve"> </w:t>
      </w:r>
      <w:r w:rsidR="002F5E37" w:rsidRPr="00130C7A">
        <w:rPr>
          <w:lang w:val="fr-FR"/>
        </w:rPr>
        <w:t>de mener une enquête effective</w:t>
      </w:r>
    </w:p>
    <w:p w:rsidR="000C241D" w:rsidRPr="00130C7A" w:rsidRDefault="007D1E06" w:rsidP="00130C7A">
      <w:pPr>
        <w:pStyle w:val="ECHRHeading5"/>
        <w:rPr>
          <w:lang w:val="fr-FR"/>
        </w:rPr>
      </w:pPr>
      <w:r w:rsidRPr="00130C7A">
        <w:rPr>
          <w:lang w:val="fr-FR"/>
        </w:rPr>
        <w:t>i</w:t>
      </w:r>
      <w:r w:rsidR="00C67E4E" w:rsidRPr="00130C7A">
        <w:rPr>
          <w:lang w:val="fr-FR"/>
        </w:rPr>
        <w:t>.  </w:t>
      </w:r>
      <w:r w:rsidR="000C241D" w:rsidRPr="00130C7A">
        <w:rPr>
          <w:lang w:val="fr-FR"/>
        </w:rPr>
        <w:t>Principes généraux</w:t>
      </w:r>
    </w:p>
    <w:p w:rsidR="00E63A6B" w:rsidRPr="00130C7A" w:rsidRDefault="00903699" w:rsidP="00130C7A">
      <w:pPr>
        <w:pStyle w:val="ECHRPara"/>
        <w:rPr>
          <w:i/>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90</w:t>
      </w:r>
      <w:r w:rsidRPr="00130C7A">
        <w:rPr>
          <w:lang w:val="fr-FR"/>
        </w:rPr>
        <w:fldChar w:fldCharType="end"/>
      </w:r>
      <w:r w:rsidRPr="00130C7A">
        <w:rPr>
          <w:lang w:val="fr-FR"/>
        </w:rPr>
        <w:t>.  </w:t>
      </w:r>
      <w:r w:rsidR="00E63A6B" w:rsidRPr="00130C7A">
        <w:rPr>
          <w:lang w:val="fr-FR"/>
        </w:rPr>
        <w:t>La Cour rappelle que, lorsqu</w:t>
      </w:r>
      <w:r w:rsidR="00130C7A" w:rsidRPr="00130C7A">
        <w:rPr>
          <w:lang w:val="fr-FR"/>
        </w:rPr>
        <w:t>’</w:t>
      </w:r>
      <w:r w:rsidR="00E63A6B" w:rsidRPr="00130C7A">
        <w:rPr>
          <w:lang w:val="fr-FR"/>
        </w:rPr>
        <w:t>il y a eu mort d</w:t>
      </w:r>
      <w:r w:rsidR="00130C7A" w:rsidRPr="00130C7A">
        <w:rPr>
          <w:lang w:val="fr-FR"/>
        </w:rPr>
        <w:t>’</w:t>
      </w:r>
      <w:r w:rsidR="00E63A6B" w:rsidRPr="00130C7A">
        <w:rPr>
          <w:lang w:val="fr-FR"/>
        </w:rPr>
        <w:t>homme dans des circonstances susceptibles d</w:t>
      </w:r>
      <w:r w:rsidR="00130C7A" w:rsidRPr="00130C7A">
        <w:rPr>
          <w:lang w:val="fr-FR"/>
        </w:rPr>
        <w:t>’</w:t>
      </w:r>
      <w:r w:rsidR="00E63A6B" w:rsidRPr="00130C7A">
        <w:rPr>
          <w:lang w:val="fr-FR"/>
        </w:rPr>
        <w:t>engager la responsabilité de l</w:t>
      </w:r>
      <w:r w:rsidR="00130C7A" w:rsidRPr="00130C7A">
        <w:rPr>
          <w:lang w:val="fr-FR"/>
        </w:rPr>
        <w:t>’</w:t>
      </w:r>
      <w:r w:rsidR="00E63A6B" w:rsidRPr="00130C7A">
        <w:rPr>
          <w:lang w:val="fr-FR"/>
        </w:rPr>
        <w:t>État, l</w:t>
      </w:r>
      <w:r w:rsidR="00130C7A" w:rsidRPr="00130C7A">
        <w:rPr>
          <w:lang w:val="fr-FR"/>
        </w:rPr>
        <w:t>’</w:t>
      </w:r>
      <w:r w:rsidR="00E63A6B" w:rsidRPr="00130C7A">
        <w:rPr>
          <w:lang w:val="fr-FR"/>
        </w:rPr>
        <w:t>article</w:t>
      </w:r>
      <w:r w:rsidR="00AD619D" w:rsidRPr="00130C7A">
        <w:rPr>
          <w:lang w:val="fr-FR"/>
        </w:rPr>
        <w:t> </w:t>
      </w:r>
      <w:r w:rsidR="00E63A6B" w:rsidRPr="00130C7A">
        <w:rPr>
          <w:lang w:val="fr-FR"/>
        </w:rPr>
        <w:t>2 de la Convention implique pour celui-ci le devoir d</w:t>
      </w:r>
      <w:r w:rsidR="00130C7A" w:rsidRPr="00130C7A">
        <w:rPr>
          <w:lang w:val="fr-FR"/>
        </w:rPr>
        <w:t>’</w:t>
      </w:r>
      <w:r w:rsidR="00E63A6B" w:rsidRPr="00130C7A">
        <w:rPr>
          <w:lang w:val="fr-FR"/>
        </w:rPr>
        <w:t>assurer, par tous les moyens dont il dispose, une réaction adéquate – judiciaire ou autre – pour que le cadre législatif et administratif instauré aux fins de la protection de la vie soit effectivement mis en œuvre et pour que, le cas échéant, les violations du droit en jeu soient réprimées et sanctionnées (</w:t>
      </w:r>
      <w:proofErr w:type="spellStart"/>
      <w:r w:rsidR="00E63A6B" w:rsidRPr="00130C7A">
        <w:rPr>
          <w:i/>
          <w:lang w:val="fr-FR"/>
        </w:rPr>
        <w:t>Öneryıldız</w:t>
      </w:r>
      <w:proofErr w:type="spellEnd"/>
      <w:r w:rsidR="00E63A6B" w:rsidRPr="00130C7A">
        <w:rPr>
          <w:i/>
          <w:lang w:val="fr-FR"/>
        </w:rPr>
        <w:t xml:space="preserve"> c.</w:t>
      </w:r>
      <w:r w:rsidR="00072BC4" w:rsidRPr="00130C7A">
        <w:rPr>
          <w:i/>
          <w:lang w:val="fr-FR"/>
        </w:rPr>
        <w:t> </w:t>
      </w:r>
      <w:r w:rsidR="00E63A6B" w:rsidRPr="00130C7A">
        <w:rPr>
          <w:i/>
          <w:lang w:val="fr-FR"/>
        </w:rPr>
        <w:t>Turquie</w:t>
      </w:r>
      <w:r w:rsidR="00E63A6B" w:rsidRPr="00130C7A">
        <w:rPr>
          <w:lang w:val="fr-FR"/>
        </w:rPr>
        <w:t xml:space="preserve"> [GC], n</w:t>
      </w:r>
      <w:r w:rsidR="001E0028" w:rsidRPr="00130C7A">
        <w:rPr>
          <w:vertAlign w:val="superscript"/>
          <w:lang w:val="fr-FR"/>
        </w:rPr>
        <w:t>o</w:t>
      </w:r>
      <w:r w:rsidR="00E63A6B" w:rsidRPr="00130C7A">
        <w:rPr>
          <w:lang w:val="fr-FR"/>
        </w:rPr>
        <w:t xml:space="preserve"> 48939/99, § 91, CEDH 20</w:t>
      </w:r>
      <w:r w:rsidR="007D1E06" w:rsidRPr="00130C7A">
        <w:rPr>
          <w:lang w:val="fr-FR"/>
        </w:rPr>
        <w:t xml:space="preserve">04-XII, et </w:t>
      </w:r>
      <w:proofErr w:type="spellStart"/>
      <w:r w:rsidR="00BC2B0A" w:rsidRPr="00130C7A">
        <w:rPr>
          <w:i/>
          <w:lang w:val="fr-FR"/>
        </w:rPr>
        <w:t>Volk</w:t>
      </w:r>
      <w:proofErr w:type="spellEnd"/>
      <w:r w:rsidR="00BC2B0A" w:rsidRPr="00130C7A">
        <w:rPr>
          <w:i/>
          <w:lang w:val="fr-FR"/>
        </w:rPr>
        <w:t xml:space="preserve"> c. Slovénie</w:t>
      </w:r>
      <w:r w:rsidR="00BC2B0A" w:rsidRPr="00130C7A">
        <w:rPr>
          <w:lang w:val="fr-FR"/>
        </w:rPr>
        <w:t>, n</w:t>
      </w:r>
      <w:r w:rsidR="00BC2B0A" w:rsidRPr="00130C7A">
        <w:rPr>
          <w:vertAlign w:val="superscript"/>
          <w:lang w:val="fr-FR"/>
        </w:rPr>
        <w:t>o</w:t>
      </w:r>
      <w:r w:rsidR="00AD619D" w:rsidRPr="00130C7A">
        <w:rPr>
          <w:vertAlign w:val="superscript"/>
          <w:lang w:val="fr-FR"/>
        </w:rPr>
        <w:t> </w:t>
      </w:r>
      <w:r w:rsidR="00BC2B0A" w:rsidRPr="00130C7A">
        <w:rPr>
          <w:lang w:val="fr-FR"/>
        </w:rPr>
        <w:t>62120/09</w:t>
      </w:r>
      <w:r w:rsidR="00BC2B0A" w:rsidRPr="00130C7A">
        <w:rPr>
          <w:snapToGrid w:val="0"/>
          <w:lang w:val="fr-FR"/>
        </w:rPr>
        <w:t xml:space="preserve">, § 97, 13 </w:t>
      </w:r>
      <w:r w:rsidR="00BC2B0A" w:rsidRPr="00130C7A">
        <w:rPr>
          <w:lang w:val="fr-FR"/>
        </w:rPr>
        <w:t>décembre</w:t>
      </w:r>
      <w:r w:rsidR="00BC2B0A" w:rsidRPr="00130C7A">
        <w:rPr>
          <w:snapToGrid w:val="0"/>
          <w:lang w:val="fr-FR"/>
        </w:rPr>
        <w:t xml:space="preserve"> 2012</w:t>
      </w:r>
    </w:p>
    <w:p w:rsidR="00903699" w:rsidRPr="00130C7A" w:rsidRDefault="0090369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91</w:t>
      </w:r>
      <w:r w:rsidRPr="00130C7A">
        <w:rPr>
          <w:lang w:val="fr-FR"/>
        </w:rPr>
        <w:fldChar w:fldCharType="end"/>
      </w:r>
      <w:r w:rsidRPr="00130C7A">
        <w:rPr>
          <w:lang w:val="fr-FR"/>
        </w:rPr>
        <w:t>.  </w:t>
      </w:r>
      <w:r w:rsidR="00E63A6B" w:rsidRPr="00130C7A">
        <w:rPr>
          <w:lang w:val="fr-FR"/>
        </w:rPr>
        <w:t>Dans tous les cas où un détenu décède dans des conditions suspectes et où l</w:t>
      </w:r>
      <w:r w:rsidR="00614006" w:rsidRPr="00130C7A">
        <w:rPr>
          <w:lang w:val="fr-FR"/>
        </w:rPr>
        <w:t>a</w:t>
      </w:r>
      <w:r w:rsidR="00E63A6B" w:rsidRPr="00130C7A">
        <w:rPr>
          <w:lang w:val="fr-FR"/>
        </w:rPr>
        <w:t xml:space="preserve"> cause de ce décès </w:t>
      </w:r>
      <w:r w:rsidR="00614006" w:rsidRPr="00130C7A">
        <w:rPr>
          <w:lang w:val="fr-FR"/>
        </w:rPr>
        <w:t>est</w:t>
      </w:r>
      <w:r w:rsidR="00E63A6B" w:rsidRPr="00130C7A">
        <w:rPr>
          <w:lang w:val="fr-FR"/>
        </w:rPr>
        <w:t xml:space="preserve"> susceptible d</w:t>
      </w:r>
      <w:r w:rsidR="00130C7A" w:rsidRPr="00130C7A">
        <w:rPr>
          <w:lang w:val="fr-FR"/>
        </w:rPr>
        <w:t>’</w:t>
      </w:r>
      <w:r w:rsidR="00E63A6B" w:rsidRPr="00130C7A">
        <w:rPr>
          <w:lang w:val="fr-FR"/>
        </w:rPr>
        <w:t>être rattachée à une action ou à une omission des agents ou des services publics, les autorités ont l</w:t>
      </w:r>
      <w:r w:rsidR="00130C7A" w:rsidRPr="00130C7A">
        <w:rPr>
          <w:lang w:val="fr-FR"/>
        </w:rPr>
        <w:t>’</w:t>
      </w:r>
      <w:r w:rsidR="00E63A6B" w:rsidRPr="00130C7A">
        <w:rPr>
          <w:lang w:val="fr-FR"/>
        </w:rPr>
        <w:t>obligation de mener d</w:t>
      </w:r>
      <w:r w:rsidR="00130C7A" w:rsidRPr="00130C7A">
        <w:rPr>
          <w:lang w:val="fr-FR"/>
        </w:rPr>
        <w:t>’</w:t>
      </w:r>
      <w:r w:rsidR="00E63A6B" w:rsidRPr="00130C7A">
        <w:rPr>
          <w:lang w:val="fr-FR"/>
        </w:rPr>
        <w:t>office une « enquête officielle et effective » de nature à permettre d</w:t>
      </w:r>
      <w:r w:rsidR="00130C7A" w:rsidRPr="00130C7A">
        <w:rPr>
          <w:lang w:val="fr-FR"/>
        </w:rPr>
        <w:t>’</w:t>
      </w:r>
      <w:r w:rsidR="00E63A6B" w:rsidRPr="00130C7A">
        <w:rPr>
          <w:lang w:val="fr-FR"/>
        </w:rPr>
        <w:t>établir l</w:t>
      </w:r>
      <w:r w:rsidR="00614006" w:rsidRPr="00130C7A">
        <w:rPr>
          <w:lang w:val="fr-FR"/>
        </w:rPr>
        <w:t>a</w:t>
      </w:r>
      <w:r w:rsidR="00E63A6B" w:rsidRPr="00130C7A">
        <w:rPr>
          <w:lang w:val="fr-FR"/>
        </w:rPr>
        <w:t xml:space="preserve"> cause de la mort et</w:t>
      </w:r>
      <w:r w:rsidR="00667BA5" w:rsidRPr="00130C7A">
        <w:rPr>
          <w:lang w:val="fr-FR"/>
        </w:rPr>
        <w:t>, le cas échéant,</w:t>
      </w:r>
      <w:r w:rsidR="00E63A6B" w:rsidRPr="00130C7A">
        <w:rPr>
          <w:lang w:val="fr-FR"/>
        </w:rPr>
        <w:t xml:space="preserve"> d</w:t>
      </w:r>
      <w:r w:rsidR="00130C7A" w:rsidRPr="00130C7A">
        <w:rPr>
          <w:lang w:val="fr-FR"/>
        </w:rPr>
        <w:t>’</w:t>
      </w:r>
      <w:r w:rsidR="00E63A6B" w:rsidRPr="00130C7A">
        <w:rPr>
          <w:lang w:val="fr-FR"/>
        </w:rPr>
        <w:t>identifier les éventuels responsables de celle-ci et d</w:t>
      </w:r>
      <w:r w:rsidR="00130C7A" w:rsidRPr="00130C7A">
        <w:rPr>
          <w:lang w:val="fr-FR"/>
        </w:rPr>
        <w:t>’</w:t>
      </w:r>
      <w:r w:rsidR="00D50CE1" w:rsidRPr="00130C7A">
        <w:rPr>
          <w:lang w:val="fr-FR"/>
        </w:rPr>
        <w:t>aboutir à leur punition </w:t>
      </w:r>
      <w:r w:rsidR="00E63A6B" w:rsidRPr="00130C7A">
        <w:rPr>
          <w:lang w:val="fr-FR"/>
        </w:rPr>
        <w:t>; il s</w:t>
      </w:r>
      <w:r w:rsidR="00130C7A" w:rsidRPr="00130C7A">
        <w:rPr>
          <w:lang w:val="fr-FR"/>
        </w:rPr>
        <w:t>’</w:t>
      </w:r>
      <w:r w:rsidR="00E63A6B" w:rsidRPr="00130C7A">
        <w:rPr>
          <w:lang w:val="fr-FR"/>
        </w:rPr>
        <w:t>agit essentiellement, au travers d</w:t>
      </w:r>
      <w:r w:rsidR="00130C7A" w:rsidRPr="00130C7A">
        <w:rPr>
          <w:lang w:val="fr-FR"/>
        </w:rPr>
        <w:t>’</w:t>
      </w:r>
      <w:r w:rsidR="00E63A6B" w:rsidRPr="00130C7A">
        <w:rPr>
          <w:lang w:val="fr-FR"/>
        </w:rPr>
        <w:t>une telle enquête, d</w:t>
      </w:r>
      <w:r w:rsidR="00130C7A" w:rsidRPr="00130C7A">
        <w:rPr>
          <w:lang w:val="fr-FR"/>
        </w:rPr>
        <w:t>’</w:t>
      </w:r>
      <w:r w:rsidR="00E63A6B" w:rsidRPr="00130C7A">
        <w:rPr>
          <w:lang w:val="fr-FR"/>
        </w:rPr>
        <w:t>assurer l</w:t>
      </w:r>
      <w:r w:rsidR="00130C7A" w:rsidRPr="00130C7A">
        <w:rPr>
          <w:lang w:val="fr-FR"/>
        </w:rPr>
        <w:t>’</w:t>
      </w:r>
      <w:r w:rsidR="00E63A6B" w:rsidRPr="00130C7A">
        <w:rPr>
          <w:lang w:val="fr-FR"/>
        </w:rPr>
        <w:t>application effective des lois internes qui protègent le droit à la vie et, dans les affaires où des agents ou organes de l</w:t>
      </w:r>
      <w:r w:rsidR="00130C7A" w:rsidRPr="00130C7A">
        <w:rPr>
          <w:lang w:val="fr-FR"/>
        </w:rPr>
        <w:t>’</w:t>
      </w:r>
      <w:r w:rsidR="00E63A6B" w:rsidRPr="00130C7A">
        <w:rPr>
          <w:lang w:val="fr-FR"/>
        </w:rPr>
        <w:t>État sont impliqués, de garantir que ceux-ci aient à rendre des comptes au sujet des décès survenus sous leur responsabilité (</w:t>
      </w:r>
      <w:r w:rsidR="00E63A6B" w:rsidRPr="00130C7A">
        <w:rPr>
          <w:i/>
          <w:lang w:val="fr-FR"/>
        </w:rPr>
        <w:t xml:space="preserve">De </w:t>
      </w:r>
      <w:proofErr w:type="spellStart"/>
      <w:r w:rsidR="00E63A6B" w:rsidRPr="00130C7A">
        <w:rPr>
          <w:i/>
          <w:lang w:val="fr-FR"/>
        </w:rPr>
        <w:t>Donder</w:t>
      </w:r>
      <w:proofErr w:type="spellEnd"/>
      <w:r w:rsidR="00E63A6B" w:rsidRPr="00130C7A">
        <w:rPr>
          <w:i/>
          <w:lang w:val="fr-FR"/>
        </w:rPr>
        <w:t xml:space="preserve"> et De </w:t>
      </w:r>
      <w:proofErr w:type="spellStart"/>
      <w:r w:rsidR="00E63A6B" w:rsidRPr="00130C7A">
        <w:rPr>
          <w:i/>
          <w:lang w:val="fr-FR"/>
        </w:rPr>
        <w:t>Clippel</w:t>
      </w:r>
      <w:proofErr w:type="spellEnd"/>
      <w:r w:rsidR="00E63A6B" w:rsidRPr="00130C7A">
        <w:rPr>
          <w:lang w:val="fr-FR"/>
        </w:rPr>
        <w:t>, p</w:t>
      </w:r>
      <w:r w:rsidR="00276970" w:rsidRPr="00130C7A">
        <w:rPr>
          <w:lang w:val="fr-FR"/>
        </w:rPr>
        <w:t>récité, §§ 61 et 85</w:t>
      </w:r>
      <w:r w:rsidR="005453E2" w:rsidRPr="00130C7A">
        <w:rPr>
          <w:lang w:val="fr-FR"/>
        </w:rPr>
        <w:t> ;</w:t>
      </w:r>
      <w:r w:rsidR="00E63A6B" w:rsidRPr="00130C7A">
        <w:rPr>
          <w:lang w:val="fr-FR"/>
        </w:rPr>
        <w:t xml:space="preserve"> voir</w:t>
      </w:r>
      <w:r w:rsidR="005453E2" w:rsidRPr="00130C7A">
        <w:rPr>
          <w:lang w:val="fr-FR"/>
        </w:rPr>
        <w:t>,</w:t>
      </w:r>
      <w:r w:rsidR="00E63A6B" w:rsidRPr="00130C7A">
        <w:rPr>
          <w:lang w:val="fr-FR"/>
        </w:rPr>
        <w:t xml:space="preserve"> également</w:t>
      </w:r>
      <w:r w:rsidR="005453E2" w:rsidRPr="00130C7A">
        <w:rPr>
          <w:lang w:val="fr-FR"/>
        </w:rPr>
        <w:t>,</w:t>
      </w:r>
      <w:r w:rsidR="00E63A6B" w:rsidRPr="00130C7A">
        <w:rPr>
          <w:lang w:val="fr-FR"/>
        </w:rPr>
        <w:t xml:space="preserve"> </w:t>
      </w:r>
      <w:r w:rsidR="00E63A6B" w:rsidRPr="00130C7A">
        <w:rPr>
          <w:i/>
          <w:lang w:val="fr-FR"/>
        </w:rPr>
        <w:t>Mahmut Kaya c. Turquie</w:t>
      </w:r>
      <w:r w:rsidR="00E63A6B" w:rsidRPr="00130C7A">
        <w:rPr>
          <w:lang w:val="fr-FR"/>
        </w:rPr>
        <w:t>, n</w:t>
      </w:r>
      <w:r w:rsidR="001E0028" w:rsidRPr="00130C7A">
        <w:rPr>
          <w:vertAlign w:val="superscript"/>
          <w:lang w:val="fr-FR"/>
        </w:rPr>
        <w:t>o</w:t>
      </w:r>
      <w:r w:rsidR="003938CF" w:rsidRPr="00130C7A">
        <w:rPr>
          <w:lang w:val="fr-FR"/>
        </w:rPr>
        <w:t xml:space="preserve"> 22535/93, §§ 106-107, CEDH </w:t>
      </w:r>
      <w:r w:rsidR="00E63A6B" w:rsidRPr="00130C7A">
        <w:rPr>
          <w:lang w:val="fr-FR"/>
        </w:rPr>
        <w:t xml:space="preserve">2000-III, </w:t>
      </w:r>
      <w:proofErr w:type="spellStart"/>
      <w:r w:rsidR="00E63A6B" w:rsidRPr="00130C7A">
        <w:rPr>
          <w:i/>
          <w:lang w:val="fr-FR"/>
        </w:rPr>
        <w:t>İlhan</w:t>
      </w:r>
      <w:proofErr w:type="spellEnd"/>
      <w:r w:rsidR="00E63A6B" w:rsidRPr="00130C7A">
        <w:rPr>
          <w:i/>
          <w:lang w:val="fr-FR"/>
        </w:rPr>
        <w:t xml:space="preserve"> c. Turquie</w:t>
      </w:r>
      <w:r w:rsidR="00E63A6B" w:rsidRPr="00130C7A">
        <w:rPr>
          <w:lang w:val="fr-FR"/>
        </w:rPr>
        <w:t xml:space="preserve"> [GC], n</w:t>
      </w:r>
      <w:r w:rsidR="001E0028" w:rsidRPr="00130C7A">
        <w:rPr>
          <w:vertAlign w:val="superscript"/>
          <w:lang w:val="fr-FR"/>
        </w:rPr>
        <w:t>o</w:t>
      </w:r>
      <w:r w:rsidR="00E63A6B" w:rsidRPr="00130C7A">
        <w:rPr>
          <w:lang w:val="fr-FR"/>
        </w:rPr>
        <w:t xml:space="preserve"> 22277/93, § 63, CEDH 2000-VII, </w:t>
      </w:r>
      <w:proofErr w:type="spellStart"/>
      <w:r w:rsidR="00E63A6B" w:rsidRPr="00130C7A">
        <w:rPr>
          <w:i/>
          <w:lang w:val="fr-FR"/>
        </w:rPr>
        <w:t>McKerr</w:t>
      </w:r>
      <w:proofErr w:type="spellEnd"/>
      <w:r w:rsidR="00E63A6B" w:rsidRPr="00130C7A">
        <w:rPr>
          <w:i/>
          <w:lang w:val="fr-FR"/>
        </w:rPr>
        <w:t xml:space="preserve"> c. Royaume-Uni</w:t>
      </w:r>
      <w:r w:rsidR="00E63A6B" w:rsidRPr="00130C7A">
        <w:rPr>
          <w:lang w:val="fr-FR"/>
        </w:rPr>
        <w:t>, n</w:t>
      </w:r>
      <w:r w:rsidR="001E0028" w:rsidRPr="00130C7A">
        <w:rPr>
          <w:vertAlign w:val="superscript"/>
          <w:lang w:val="fr-FR"/>
        </w:rPr>
        <w:t>o</w:t>
      </w:r>
      <w:r w:rsidR="00E63A6B" w:rsidRPr="00130C7A">
        <w:rPr>
          <w:lang w:val="fr-FR"/>
        </w:rPr>
        <w:t xml:space="preserve"> 28883/95, § 148, CEDH 2001-III, </w:t>
      </w:r>
      <w:r w:rsidR="003938CF" w:rsidRPr="00130C7A">
        <w:rPr>
          <w:i/>
          <w:lang w:val="fr-FR"/>
        </w:rPr>
        <w:t>Kelly et </w:t>
      </w:r>
      <w:r w:rsidR="00E63A6B" w:rsidRPr="00130C7A">
        <w:rPr>
          <w:i/>
          <w:lang w:val="fr-FR"/>
        </w:rPr>
        <w:t>autres c. Royaume-Uni</w:t>
      </w:r>
      <w:r w:rsidR="00E63A6B" w:rsidRPr="00130C7A">
        <w:rPr>
          <w:lang w:val="fr-FR"/>
        </w:rPr>
        <w:t>, n</w:t>
      </w:r>
      <w:r w:rsidR="001E0028" w:rsidRPr="00130C7A">
        <w:rPr>
          <w:vertAlign w:val="superscript"/>
          <w:lang w:val="fr-FR"/>
        </w:rPr>
        <w:t>o</w:t>
      </w:r>
      <w:r w:rsidR="00E63A6B" w:rsidRPr="00130C7A">
        <w:rPr>
          <w:lang w:val="fr-FR"/>
        </w:rPr>
        <w:t xml:space="preserve"> 30054/96, § 114, 4 mai 2001, </w:t>
      </w:r>
      <w:proofErr w:type="spellStart"/>
      <w:r w:rsidR="00E63A6B" w:rsidRPr="00130C7A">
        <w:rPr>
          <w:i/>
          <w:lang w:val="fr-FR"/>
        </w:rPr>
        <w:t>Shumkova</w:t>
      </w:r>
      <w:proofErr w:type="spellEnd"/>
      <w:r w:rsidR="005453E2" w:rsidRPr="00130C7A">
        <w:rPr>
          <w:rFonts w:ascii="Times New Roman" w:hAnsi="Times New Roman"/>
          <w:i/>
          <w:lang w:val="fr-FR"/>
        </w:rPr>
        <w:t xml:space="preserve"> </w:t>
      </w:r>
      <w:r w:rsidR="005453E2" w:rsidRPr="00130C7A">
        <w:rPr>
          <w:i/>
          <w:lang w:val="fr-FR"/>
        </w:rPr>
        <w:t>c. Russie</w:t>
      </w:r>
      <w:r w:rsidR="005453E2" w:rsidRPr="00130C7A">
        <w:rPr>
          <w:lang w:val="fr-FR"/>
        </w:rPr>
        <w:t>, n</w:t>
      </w:r>
      <w:r w:rsidR="005453E2" w:rsidRPr="00130C7A">
        <w:rPr>
          <w:vertAlign w:val="superscript"/>
          <w:lang w:val="fr-FR"/>
        </w:rPr>
        <w:t>o</w:t>
      </w:r>
      <w:r w:rsidR="005453E2" w:rsidRPr="00130C7A">
        <w:rPr>
          <w:lang w:val="fr-FR"/>
        </w:rPr>
        <w:t xml:space="preserve"> 9296/06, § 109, 14 février 2012</w:t>
      </w:r>
      <w:r w:rsidR="00E63A6B" w:rsidRPr="00130C7A">
        <w:rPr>
          <w:lang w:val="fr-FR"/>
        </w:rPr>
        <w:t xml:space="preserve">, et </w:t>
      </w:r>
      <w:proofErr w:type="spellStart"/>
      <w:r w:rsidR="00E63A6B" w:rsidRPr="00130C7A">
        <w:rPr>
          <w:i/>
          <w:lang w:val="fr-FR"/>
        </w:rPr>
        <w:t>Volk</w:t>
      </w:r>
      <w:proofErr w:type="spellEnd"/>
      <w:r w:rsidR="00E63A6B" w:rsidRPr="00130C7A">
        <w:rPr>
          <w:lang w:val="fr-FR"/>
        </w:rPr>
        <w:t>, précité, § 98).</w:t>
      </w:r>
    </w:p>
    <w:p w:rsidR="001E0028" w:rsidRPr="00130C7A" w:rsidRDefault="00903699" w:rsidP="00130C7A">
      <w:pPr>
        <w:pStyle w:val="ECHRPara"/>
        <w:rPr>
          <w:i/>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92</w:t>
      </w:r>
      <w:r w:rsidRPr="00130C7A">
        <w:rPr>
          <w:lang w:val="fr-FR"/>
        </w:rPr>
        <w:fldChar w:fldCharType="end"/>
      </w:r>
      <w:r w:rsidRPr="00130C7A">
        <w:rPr>
          <w:lang w:val="fr-FR"/>
        </w:rPr>
        <w:t>.</w:t>
      </w:r>
      <w:r w:rsidR="006C7150" w:rsidRPr="00130C7A">
        <w:rPr>
          <w:lang w:val="fr-FR"/>
        </w:rPr>
        <w:t>  L</w:t>
      </w:r>
      <w:r w:rsidR="00130C7A" w:rsidRPr="00130C7A">
        <w:rPr>
          <w:lang w:val="fr-FR"/>
        </w:rPr>
        <w:t>’</w:t>
      </w:r>
      <w:r w:rsidR="006C7150" w:rsidRPr="00130C7A">
        <w:rPr>
          <w:lang w:val="fr-FR"/>
        </w:rPr>
        <w:t>obligation procédurale découlant de l</w:t>
      </w:r>
      <w:r w:rsidR="00130C7A" w:rsidRPr="00130C7A">
        <w:rPr>
          <w:lang w:val="fr-FR"/>
        </w:rPr>
        <w:t>’</w:t>
      </w:r>
      <w:r w:rsidR="006C7150" w:rsidRPr="00130C7A">
        <w:rPr>
          <w:lang w:val="fr-FR"/>
        </w:rPr>
        <w:t>article 2 exige notamment que l</w:t>
      </w:r>
      <w:r w:rsidR="00130C7A" w:rsidRPr="00130C7A">
        <w:rPr>
          <w:lang w:val="fr-FR"/>
        </w:rPr>
        <w:t>’</w:t>
      </w:r>
      <w:r w:rsidR="006C7150" w:rsidRPr="00130C7A">
        <w:rPr>
          <w:lang w:val="fr-FR"/>
        </w:rPr>
        <w:t xml:space="preserve">enquête soit menée à terme avec </w:t>
      </w:r>
      <w:r w:rsidR="003A61BB" w:rsidRPr="00130C7A">
        <w:rPr>
          <w:lang w:val="fr-FR"/>
        </w:rPr>
        <w:t xml:space="preserve">une </w:t>
      </w:r>
      <w:r w:rsidR="006C7150" w:rsidRPr="00130C7A">
        <w:rPr>
          <w:lang w:val="fr-FR"/>
        </w:rPr>
        <w:t>célérité</w:t>
      </w:r>
      <w:r w:rsidR="003A61BB" w:rsidRPr="00130C7A">
        <w:rPr>
          <w:lang w:val="fr-FR"/>
        </w:rPr>
        <w:t xml:space="preserve"> raisonnable</w:t>
      </w:r>
      <w:r w:rsidR="002B1A3C" w:rsidRPr="00130C7A">
        <w:rPr>
          <w:lang w:val="fr-FR"/>
        </w:rPr>
        <w:t xml:space="preserve"> (</w:t>
      </w:r>
      <w:r w:rsidR="003938CF" w:rsidRPr="00130C7A">
        <w:rPr>
          <w:i/>
          <w:lang w:val="fr-FR"/>
        </w:rPr>
        <w:t>Mustafa </w:t>
      </w:r>
      <w:proofErr w:type="spellStart"/>
      <w:r w:rsidR="00C971BB" w:rsidRPr="00130C7A">
        <w:rPr>
          <w:i/>
          <w:lang w:val="fr-FR"/>
        </w:rPr>
        <w:t>Tunç</w:t>
      </w:r>
      <w:proofErr w:type="spellEnd"/>
      <w:r w:rsidR="00C971BB" w:rsidRPr="00130C7A">
        <w:rPr>
          <w:i/>
          <w:lang w:val="fr-FR"/>
        </w:rPr>
        <w:t xml:space="preserve"> et </w:t>
      </w:r>
      <w:proofErr w:type="spellStart"/>
      <w:r w:rsidR="00C971BB" w:rsidRPr="00130C7A">
        <w:rPr>
          <w:i/>
          <w:lang w:val="fr-FR"/>
        </w:rPr>
        <w:t>Fecire</w:t>
      </w:r>
      <w:proofErr w:type="spellEnd"/>
      <w:r w:rsidR="00C971BB" w:rsidRPr="00130C7A">
        <w:rPr>
          <w:i/>
          <w:lang w:val="fr-FR"/>
        </w:rPr>
        <w:t xml:space="preserve"> </w:t>
      </w:r>
      <w:proofErr w:type="spellStart"/>
      <w:r w:rsidR="00C971BB" w:rsidRPr="00130C7A">
        <w:rPr>
          <w:i/>
          <w:lang w:val="fr-FR"/>
        </w:rPr>
        <w:t>Tunç</w:t>
      </w:r>
      <w:proofErr w:type="spellEnd"/>
      <w:r w:rsidR="00C971BB" w:rsidRPr="00130C7A">
        <w:rPr>
          <w:i/>
          <w:lang w:val="fr-FR"/>
        </w:rPr>
        <w:t xml:space="preserve"> c. Turquie</w:t>
      </w:r>
      <w:r w:rsidR="00C971BB" w:rsidRPr="00130C7A">
        <w:rPr>
          <w:lang w:val="fr-FR"/>
        </w:rPr>
        <w:t xml:space="preserve"> [GC], n</w:t>
      </w:r>
      <w:r w:rsidR="00C971BB" w:rsidRPr="00130C7A">
        <w:rPr>
          <w:vertAlign w:val="superscript"/>
          <w:lang w:val="fr-FR"/>
        </w:rPr>
        <w:t>o</w:t>
      </w:r>
      <w:r w:rsidR="00C971BB" w:rsidRPr="00130C7A">
        <w:rPr>
          <w:lang w:val="fr-FR"/>
        </w:rPr>
        <w:t xml:space="preserve"> 24014/05</w:t>
      </w:r>
      <w:r w:rsidR="00C971BB" w:rsidRPr="00130C7A">
        <w:rPr>
          <w:snapToGrid w:val="0"/>
          <w:lang w:val="fr-FR"/>
        </w:rPr>
        <w:t xml:space="preserve">, § 178, </w:t>
      </w:r>
      <w:r w:rsidR="00C971BB" w:rsidRPr="00130C7A">
        <w:rPr>
          <w:lang w:val="fr-FR"/>
        </w:rPr>
        <w:t>14</w:t>
      </w:r>
      <w:r w:rsidR="00C971BB" w:rsidRPr="00130C7A">
        <w:rPr>
          <w:snapToGrid w:val="0"/>
          <w:lang w:val="fr-FR"/>
        </w:rPr>
        <w:t xml:space="preserve"> </w:t>
      </w:r>
      <w:r w:rsidR="00C971BB" w:rsidRPr="00130C7A">
        <w:rPr>
          <w:lang w:val="fr-FR"/>
        </w:rPr>
        <w:t>avril</w:t>
      </w:r>
      <w:r w:rsidR="00C971BB" w:rsidRPr="00130C7A">
        <w:rPr>
          <w:snapToGrid w:val="0"/>
          <w:lang w:val="fr-FR"/>
        </w:rPr>
        <w:t xml:space="preserve"> 2015 et </w:t>
      </w:r>
      <w:proofErr w:type="spellStart"/>
      <w:r w:rsidR="002B1A3C" w:rsidRPr="00130C7A">
        <w:rPr>
          <w:i/>
          <w:lang w:val="fr-FR"/>
        </w:rPr>
        <w:t>Troubnikov</w:t>
      </w:r>
      <w:proofErr w:type="spellEnd"/>
      <w:r w:rsidR="002B1A3C" w:rsidRPr="00130C7A">
        <w:rPr>
          <w:lang w:val="fr-FR"/>
        </w:rPr>
        <w:t>, précité, § 88)</w:t>
      </w:r>
      <w:r w:rsidR="00E808F5" w:rsidRPr="00130C7A">
        <w:rPr>
          <w:lang w:val="fr-FR"/>
        </w:rPr>
        <w:t>.</w:t>
      </w:r>
      <w:r w:rsidR="006C7150" w:rsidRPr="00130C7A">
        <w:rPr>
          <w:lang w:val="fr-FR"/>
        </w:rPr>
        <w:t xml:space="preserve"> </w:t>
      </w:r>
      <w:r w:rsidR="00E808F5" w:rsidRPr="00130C7A">
        <w:rPr>
          <w:lang w:val="fr-FR"/>
        </w:rPr>
        <w:t>Une réponse rapide des autorités lorsqu</w:t>
      </w:r>
      <w:r w:rsidR="00130C7A" w:rsidRPr="00130C7A">
        <w:rPr>
          <w:lang w:val="fr-FR"/>
        </w:rPr>
        <w:t>’</w:t>
      </w:r>
      <w:r w:rsidR="00E808F5" w:rsidRPr="00130C7A">
        <w:rPr>
          <w:lang w:val="fr-FR"/>
        </w:rPr>
        <w:t>il s</w:t>
      </w:r>
      <w:r w:rsidR="00130C7A" w:rsidRPr="00130C7A">
        <w:rPr>
          <w:lang w:val="fr-FR"/>
        </w:rPr>
        <w:t>’</w:t>
      </w:r>
      <w:r w:rsidR="00E808F5" w:rsidRPr="00130C7A">
        <w:rPr>
          <w:lang w:val="fr-FR"/>
        </w:rPr>
        <w:t>agit d</w:t>
      </w:r>
      <w:r w:rsidR="00130C7A" w:rsidRPr="00130C7A">
        <w:rPr>
          <w:lang w:val="fr-FR"/>
        </w:rPr>
        <w:t>’</w:t>
      </w:r>
      <w:r w:rsidR="00E808F5" w:rsidRPr="00130C7A">
        <w:rPr>
          <w:lang w:val="fr-FR"/>
        </w:rPr>
        <w:t xml:space="preserve">enquêter sur un décès </w:t>
      </w:r>
      <w:r w:rsidR="00B04559" w:rsidRPr="00130C7A">
        <w:rPr>
          <w:lang w:val="fr-FR"/>
        </w:rPr>
        <w:t>potentiellement causé par l</w:t>
      </w:r>
      <w:r w:rsidR="00130C7A" w:rsidRPr="00130C7A">
        <w:rPr>
          <w:lang w:val="fr-FR"/>
        </w:rPr>
        <w:t>’</w:t>
      </w:r>
      <w:r w:rsidR="00B04559" w:rsidRPr="00130C7A">
        <w:rPr>
          <w:lang w:val="fr-FR"/>
        </w:rPr>
        <w:t>action ou l</w:t>
      </w:r>
      <w:r w:rsidR="00130C7A" w:rsidRPr="00130C7A">
        <w:rPr>
          <w:lang w:val="fr-FR"/>
        </w:rPr>
        <w:t>’</w:t>
      </w:r>
      <w:r w:rsidR="00B04559" w:rsidRPr="00130C7A">
        <w:rPr>
          <w:lang w:val="fr-FR"/>
        </w:rPr>
        <w:t>omission d</w:t>
      </w:r>
      <w:r w:rsidR="00130C7A" w:rsidRPr="00130C7A">
        <w:rPr>
          <w:lang w:val="fr-FR"/>
        </w:rPr>
        <w:t>’</w:t>
      </w:r>
      <w:r w:rsidR="00B04559" w:rsidRPr="00130C7A">
        <w:rPr>
          <w:lang w:val="fr-FR"/>
        </w:rPr>
        <w:t xml:space="preserve">agents ou de services publics </w:t>
      </w:r>
      <w:r w:rsidR="00E808F5" w:rsidRPr="00130C7A">
        <w:rPr>
          <w:lang w:val="fr-FR"/>
        </w:rPr>
        <w:t>peut généralement être considérée comme essentielle pour préserver la confiance du public dans le respect du principe de légalité et pour éviter toute apparence de complicité ou de tolérance relativement à des actes illégaux</w:t>
      </w:r>
      <w:r w:rsidR="00B04559" w:rsidRPr="00130C7A">
        <w:rPr>
          <w:lang w:val="fr-FR"/>
        </w:rPr>
        <w:t xml:space="preserve"> (</w:t>
      </w:r>
      <w:r w:rsidR="00B04559" w:rsidRPr="00130C7A">
        <w:rPr>
          <w:i/>
          <w:lang w:val="fr-FR"/>
        </w:rPr>
        <w:t>mutatis mutandis</w:t>
      </w:r>
      <w:r w:rsidR="00B04559" w:rsidRPr="00130C7A">
        <w:rPr>
          <w:lang w:val="fr-FR"/>
        </w:rPr>
        <w:t xml:space="preserve">, </w:t>
      </w:r>
      <w:r w:rsidR="003938CF" w:rsidRPr="00130C7A">
        <w:rPr>
          <w:i/>
          <w:lang w:val="fr-FR"/>
        </w:rPr>
        <w:t>Armani </w:t>
      </w:r>
      <w:r w:rsidR="002B1A3C" w:rsidRPr="00130C7A">
        <w:rPr>
          <w:i/>
          <w:lang w:val="fr-FR"/>
        </w:rPr>
        <w:t>Da Silva c.</w:t>
      </w:r>
      <w:r w:rsidR="00AD619D" w:rsidRPr="00130C7A">
        <w:rPr>
          <w:i/>
          <w:lang w:val="fr-FR"/>
        </w:rPr>
        <w:t> </w:t>
      </w:r>
      <w:r w:rsidR="002B1A3C" w:rsidRPr="00130C7A">
        <w:rPr>
          <w:i/>
          <w:lang w:val="fr-FR"/>
        </w:rPr>
        <w:t>Royaume-Uni</w:t>
      </w:r>
      <w:r w:rsidR="002B1A3C" w:rsidRPr="00130C7A">
        <w:rPr>
          <w:lang w:val="fr-FR"/>
        </w:rPr>
        <w:t xml:space="preserve"> [GC], n</w:t>
      </w:r>
      <w:r w:rsidR="002B1A3C" w:rsidRPr="00130C7A">
        <w:rPr>
          <w:vertAlign w:val="superscript"/>
          <w:lang w:val="fr-FR"/>
        </w:rPr>
        <w:t>o</w:t>
      </w:r>
      <w:r w:rsidR="002B1A3C" w:rsidRPr="00130C7A">
        <w:rPr>
          <w:lang w:val="fr-FR"/>
        </w:rPr>
        <w:t xml:space="preserve"> 5878/08, § 237, 30 mars 2016).</w:t>
      </w:r>
      <w:r w:rsidR="003A61BB" w:rsidRPr="00130C7A">
        <w:rPr>
          <w:lang w:val="fr-FR"/>
        </w:rPr>
        <w:t xml:space="preserve"> Aussi, le simple </w:t>
      </w:r>
      <w:r w:rsidR="003A61BB" w:rsidRPr="00130C7A">
        <w:rPr>
          <w:lang w:val="fr-FR"/>
        </w:rPr>
        <w:lastRenderedPageBreak/>
        <w:t>passage du temps est de nature non seulement à nuire à une enquête, mais aussi à compromettre définitivement ses chances d</w:t>
      </w:r>
      <w:r w:rsidR="00130C7A" w:rsidRPr="00130C7A">
        <w:rPr>
          <w:lang w:val="fr-FR"/>
        </w:rPr>
        <w:t>’</w:t>
      </w:r>
      <w:r w:rsidR="003A61BB" w:rsidRPr="00130C7A">
        <w:rPr>
          <w:lang w:val="fr-FR"/>
        </w:rPr>
        <w:t>aboutissement (</w:t>
      </w:r>
      <w:r w:rsidR="00C749E3" w:rsidRPr="00130C7A">
        <w:rPr>
          <w:i/>
          <w:lang w:val="fr-FR"/>
        </w:rPr>
        <w:t>mutatis mutandis</w:t>
      </w:r>
      <w:r w:rsidR="00C749E3" w:rsidRPr="00130C7A">
        <w:rPr>
          <w:lang w:val="fr-FR"/>
        </w:rPr>
        <w:t xml:space="preserve">, </w:t>
      </w:r>
      <w:proofErr w:type="spellStart"/>
      <w:r w:rsidR="00BF2A5C" w:rsidRPr="00130C7A">
        <w:rPr>
          <w:i/>
          <w:lang w:val="fr-FR"/>
        </w:rPr>
        <w:t>Mocanu</w:t>
      </w:r>
      <w:proofErr w:type="spellEnd"/>
      <w:r w:rsidR="00BF2A5C" w:rsidRPr="00130C7A">
        <w:rPr>
          <w:i/>
          <w:lang w:val="fr-FR"/>
        </w:rPr>
        <w:t xml:space="preserve"> et autres c. Roumanie</w:t>
      </w:r>
      <w:r w:rsidR="00BF2A5C" w:rsidRPr="00130C7A">
        <w:rPr>
          <w:lang w:val="fr-FR"/>
        </w:rPr>
        <w:t xml:space="preserve"> [GC]</w:t>
      </w:r>
      <w:r w:rsidR="00BF2A5C" w:rsidRPr="00130C7A">
        <w:rPr>
          <w:snapToGrid w:val="0"/>
          <w:lang w:val="fr-FR"/>
        </w:rPr>
        <w:t>, n</w:t>
      </w:r>
      <w:r w:rsidR="00BF2A5C" w:rsidRPr="00130C7A">
        <w:rPr>
          <w:rFonts w:cs="Times New Roman"/>
          <w:vertAlign w:val="superscript"/>
          <w:lang w:val="fr-FR"/>
        </w:rPr>
        <w:t>os</w:t>
      </w:r>
      <w:r w:rsidR="003938CF" w:rsidRPr="00130C7A">
        <w:rPr>
          <w:snapToGrid w:val="0"/>
          <w:lang w:val="fr-FR"/>
        </w:rPr>
        <w:t> </w:t>
      </w:r>
      <w:r w:rsidR="00BF2A5C" w:rsidRPr="00130C7A">
        <w:rPr>
          <w:snapToGrid w:val="0"/>
          <w:lang w:val="fr-FR"/>
        </w:rPr>
        <w:t>10865/09</w:t>
      </w:r>
      <w:r w:rsidR="00BF2A5C" w:rsidRPr="00130C7A">
        <w:rPr>
          <w:lang w:val="fr-FR"/>
        </w:rPr>
        <w:t xml:space="preserve"> et 2 autres, §</w:t>
      </w:r>
      <w:r w:rsidR="00AD619D" w:rsidRPr="00130C7A">
        <w:rPr>
          <w:lang w:val="fr-FR"/>
        </w:rPr>
        <w:t> </w:t>
      </w:r>
      <w:r w:rsidR="00BF2A5C" w:rsidRPr="00130C7A">
        <w:rPr>
          <w:lang w:val="fr-FR"/>
        </w:rPr>
        <w:t>337, CEDH 2014 (extraits).</w:t>
      </w:r>
    </w:p>
    <w:p w:rsidR="007D1E06" w:rsidRPr="00130C7A" w:rsidRDefault="00453BC0" w:rsidP="00130C7A">
      <w:pPr>
        <w:pStyle w:val="ECHRHeading5"/>
        <w:rPr>
          <w:lang w:val="fr-FR"/>
        </w:rPr>
      </w:pPr>
      <w:r w:rsidRPr="00130C7A">
        <w:rPr>
          <w:lang w:val="fr-FR"/>
        </w:rPr>
        <w:t>ii</w:t>
      </w:r>
      <w:r w:rsidR="00C67E4E" w:rsidRPr="00130C7A">
        <w:rPr>
          <w:lang w:val="fr-FR"/>
        </w:rPr>
        <w:t>.</w:t>
      </w:r>
      <w:r w:rsidRPr="00130C7A">
        <w:rPr>
          <w:lang w:val="fr-FR"/>
        </w:rPr>
        <w:t>  </w:t>
      </w:r>
      <w:r w:rsidR="007D1E06" w:rsidRPr="00130C7A">
        <w:rPr>
          <w:lang w:val="fr-FR"/>
        </w:rPr>
        <w:t xml:space="preserve">Application </w:t>
      </w:r>
      <w:r w:rsidR="00C67E4E" w:rsidRPr="00130C7A">
        <w:rPr>
          <w:lang w:val="fr-FR"/>
        </w:rPr>
        <w:t>au</w:t>
      </w:r>
      <w:r w:rsidR="007D1E06" w:rsidRPr="00130C7A">
        <w:rPr>
          <w:lang w:val="fr-FR"/>
        </w:rPr>
        <w:t xml:space="preserve"> cas d</w:t>
      </w:r>
      <w:r w:rsidR="00130C7A" w:rsidRPr="00130C7A">
        <w:rPr>
          <w:lang w:val="fr-FR"/>
        </w:rPr>
        <w:t>’</w:t>
      </w:r>
      <w:r w:rsidR="007D1E06" w:rsidRPr="00130C7A">
        <w:rPr>
          <w:lang w:val="fr-FR"/>
        </w:rPr>
        <w:t>espèce</w:t>
      </w:r>
    </w:p>
    <w:p w:rsidR="00D46DE5" w:rsidRPr="00130C7A" w:rsidRDefault="007D1E06"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93</w:t>
      </w:r>
      <w:r w:rsidRPr="00130C7A">
        <w:rPr>
          <w:lang w:val="fr-FR"/>
        </w:rPr>
        <w:fldChar w:fldCharType="end"/>
      </w:r>
      <w:r w:rsidRPr="00130C7A">
        <w:rPr>
          <w:lang w:val="fr-FR"/>
        </w:rPr>
        <w:t>.  </w:t>
      </w:r>
      <w:r w:rsidR="00E820FA" w:rsidRPr="00130C7A">
        <w:rPr>
          <w:lang w:val="fr-FR"/>
        </w:rPr>
        <w:t>En l</w:t>
      </w:r>
      <w:r w:rsidR="00130C7A" w:rsidRPr="00130C7A">
        <w:rPr>
          <w:lang w:val="fr-FR"/>
        </w:rPr>
        <w:t>’</w:t>
      </w:r>
      <w:r w:rsidR="00E820FA" w:rsidRPr="00130C7A">
        <w:rPr>
          <w:lang w:val="fr-FR"/>
        </w:rPr>
        <w:t>occurrence, la Cour estime que les autorités avaient le devoir de mener une enquête effective sur les circonstances du décès du neveu du requérant. Ce</w:t>
      </w:r>
      <w:r w:rsidR="00D57A2E" w:rsidRPr="00130C7A">
        <w:rPr>
          <w:lang w:val="fr-FR"/>
        </w:rPr>
        <w:t>lui-ci</w:t>
      </w:r>
      <w:r w:rsidR="00E820FA" w:rsidRPr="00130C7A">
        <w:rPr>
          <w:lang w:val="fr-FR"/>
        </w:rPr>
        <w:t xml:space="preserve"> se trouvait, en tant que détenu, sous le contrôle et la responsabilité des autorités pénitentiaires lorsqu</w:t>
      </w:r>
      <w:r w:rsidR="00130C7A" w:rsidRPr="00130C7A">
        <w:rPr>
          <w:lang w:val="fr-FR"/>
        </w:rPr>
        <w:t>’</w:t>
      </w:r>
      <w:r w:rsidR="00E820FA" w:rsidRPr="00130C7A">
        <w:rPr>
          <w:lang w:val="fr-FR"/>
        </w:rPr>
        <w:t>il est décédé dans des circonstances suspectes. L</w:t>
      </w:r>
      <w:r w:rsidR="00130C7A" w:rsidRPr="00130C7A">
        <w:rPr>
          <w:lang w:val="fr-FR"/>
        </w:rPr>
        <w:t>’</w:t>
      </w:r>
      <w:r w:rsidR="00E820FA" w:rsidRPr="00130C7A">
        <w:rPr>
          <w:lang w:val="fr-FR"/>
        </w:rPr>
        <w:t>enquête était nécessaire, d</w:t>
      </w:r>
      <w:r w:rsidR="00130C7A" w:rsidRPr="00130C7A">
        <w:rPr>
          <w:lang w:val="fr-FR"/>
        </w:rPr>
        <w:t>’</w:t>
      </w:r>
      <w:r w:rsidR="00E820FA" w:rsidRPr="00130C7A">
        <w:rPr>
          <w:lang w:val="fr-FR"/>
        </w:rPr>
        <w:t>une part, pour établir la cause de la mort et pour écarter la possibilité d</w:t>
      </w:r>
      <w:r w:rsidR="00130C7A" w:rsidRPr="00130C7A">
        <w:rPr>
          <w:lang w:val="fr-FR"/>
        </w:rPr>
        <w:t>’</w:t>
      </w:r>
      <w:r w:rsidR="00E820FA" w:rsidRPr="00130C7A">
        <w:rPr>
          <w:lang w:val="fr-FR"/>
        </w:rPr>
        <w:t>un accident ou d</w:t>
      </w:r>
      <w:r w:rsidR="00130C7A" w:rsidRPr="00130C7A">
        <w:rPr>
          <w:lang w:val="fr-FR"/>
        </w:rPr>
        <w:t>’</w:t>
      </w:r>
      <w:r w:rsidR="00E820FA" w:rsidRPr="00130C7A">
        <w:rPr>
          <w:lang w:val="fr-FR"/>
        </w:rPr>
        <w:t>un acte criminel et, d</w:t>
      </w:r>
      <w:r w:rsidR="00130C7A" w:rsidRPr="00130C7A">
        <w:rPr>
          <w:lang w:val="fr-FR"/>
        </w:rPr>
        <w:t>’</w:t>
      </w:r>
      <w:r w:rsidR="00E820FA" w:rsidRPr="00130C7A">
        <w:rPr>
          <w:lang w:val="fr-FR"/>
        </w:rPr>
        <w:t>autre part, pour examiner si les autorités étaient d</w:t>
      </w:r>
      <w:r w:rsidR="00130C7A" w:rsidRPr="00130C7A">
        <w:rPr>
          <w:lang w:val="fr-FR"/>
        </w:rPr>
        <w:t>’</w:t>
      </w:r>
      <w:r w:rsidR="00E820FA" w:rsidRPr="00130C7A">
        <w:rPr>
          <w:lang w:val="fr-FR"/>
        </w:rPr>
        <w:t xml:space="preserve">une quelque manière que ce fût responsables de ne pas avoir empêché un tel acte (voir, </w:t>
      </w:r>
      <w:r w:rsidR="00E820FA" w:rsidRPr="00130C7A">
        <w:rPr>
          <w:i/>
          <w:lang w:val="fr-FR"/>
        </w:rPr>
        <w:t xml:space="preserve">mutatis mutandis, </w:t>
      </w:r>
      <w:proofErr w:type="spellStart"/>
      <w:r w:rsidR="00E820FA" w:rsidRPr="00130C7A">
        <w:rPr>
          <w:i/>
          <w:lang w:val="fr-FR"/>
        </w:rPr>
        <w:t>Volk</w:t>
      </w:r>
      <w:proofErr w:type="spellEnd"/>
      <w:r w:rsidR="00E820FA" w:rsidRPr="00130C7A">
        <w:rPr>
          <w:lang w:val="fr-FR"/>
        </w:rPr>
        <w:t>, précité, § 99</w:t>
      </w:r>
      <w:r w:rsidR="00440CC2" w:rsidRPr="00130C7A">
        <w:rPr>
          <w:lang w:val="fr-FR"/>
        </w:rPr>
        <w:t>, et</w:t>
      </w:r>
      <w:r w:rsidR="00D57A2E" w:rsidRPr="00130C7A">
        <w:rPr>
          <w:lang w:val="fr-FR"/>
        </w:rPr>
        <w:t xml:space="preserve"> </w:t>
      </w:r>
      <w:r w:rsidR="00E820FA" w:rsidRPr="00130C7A">
        <w:rPr>
          <w:i/>
          <w:lang w:val="fr-FR"/>
        </w:rPr>
        <w:t xml:space="preserve">Castro et </w:t>
      </w:r>
      <w:proofErr w:type="spellStart"/>
      <w:r w:rsidR="00E820FA" w:rsidRPr="00130C7A">
        <w:rPr>
          <w:i/>
          <w:lang w:val="fr-FR"/>
        </w:rPr>
        <w:t>Lavenia</w:t>
      </w:r>
      <w:proofErr w:type="spellEnd"/>
      <w:r w:rsidR="006A68DF" w:rsidRPr="00130C7A">
        <w:rPr>
          <w:i/>
          <w:lang w:val="fr-FR"/>
        </w:rPr>
        <w:t xml:space="preserve"> c. Italie</w:t>
      </w:r>
      <w:r w:rsidR="00E820FA" w:rsidRPr="00130C7A">
        <w:rPr>
          <w:lang w:val="fr-FR"/>
        </w:rPr>
        <w:t xml:space="preserve"> </w:t>
      </w:r>
      <w:r w:rsidR="006A68DF" w:rsidRPr="00130C7A">
        <w:rPr>
          <w:lang w:val="fr-FR"/>
        </w:rPr>
        <w:t>(déc.), n</w:t>
      </w:r>
      <w:r w:rsidR="006A68DF" w:rsidRPr="00130C7A">
        <w:rPr>
          <w:vertAlign w:val="superscript"/>
          <w:lang w:val="fr-FR"/>
        </w:rPr>
        <w:t>o</w:t>
      </w:r>
      <w:r w:rsidR="006A68DF" w:rsidRPr="00130C7A">
        <w:rPr>
          <w:lang w:val="fr-FR"/>
        </w:rPr>
        <w:t xml:space="preserve"> 46190/13, 31 mai 2016, </w:t>
      </w:r>
      <w:r w:rsidR="00E820FA" w:rsidRPr="00130C7A">
        <w:rPr>
          <w:lang w:val="fr-FR"/>
        </w:rPr>
        <w:t>§ 73).</w:t>
      </w:r>
    </w:p>
    <w:p w:rsidR="0031455F" w:rsidRPr="00130C7A" w:rsidRDefault="00667BA5"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94</w:t>
      </w:r>
      <w:r w:rsidRPr="00130C7A">
        <w:rPr>
          <w:lang w:val="fr-FR"/>
        </w:rPr>
        <w:fldChar w:fldCharType="end"/>
      </w:r>
      <w:r w:rsidRPr="00130C7A">
        <w:rPr>
          <w:lang w:val="fr-FR"/>
        </w:rPr>
        <w:t>.  </w:t>
      </w:r>
      <w:r w:rsidR="00ED1C95" w:rsidRPr="00130C7A">
        <w:rPr>
          <w:lang w:val="fr-FR"/>
        </w:rPr>
        <w:t>La Cour note que le requérant</w:t>
      </w:r>
      <w:r w:rsidR="0020051A" w:rsidRPr="00130C7A">
        <w:rPr>
          <w:lang w:val="fr-FR"/>
        </w:rPr>
        <w:t xml:space="preserve"> </w:t>
      </w:r>
      <w:r w:rsidR="00ED1C95" w:rsidRPr="00130C7A">
        <w:rPr>
          <w:lang w:val="fr-FR"/>
        </w:rPr>
        <w:t>se plaint</w:t>
      </w:r>
      <w:r w:rsidR="0020051A" w:rsidRPr="00130C7A">
        <w:rPr>
          <w:lang w:val="fr-FR"/>
        </w:rPr>
        <w:t xml:space="preserve"> </w:t>
      </w:r>
      <w:r w:rsidR="00ED1C95" w:rsidRPr="00130C7A">
        <w:rPr>
          <w:lang w:val="fr-FR"/>
        </w:rPr>
        <w:t>d</w:t>
      </w:r>
      <w:r w:rsidR="00130C7A" w:rsidRPr="00130C7A">
        <w:rPr>
          <w:lang w:val="fr-FR"/>
        </w:rPr>
        <w:t>’</w:t>
      </w:r>
      <w:r w:rsidR="00ED1C95" w:rsidRPr="00130C7A">
        <w:rPr>
          <w:lang w:val="fr-FR"/>
        </w:rPr>
        <w:t>un</w:t>
      </w:r>
      <w:r w:rsidR="00024C6E" w:rsidRPr="00130C7A">
        <w:rPr>
          <w:lang w:val="fr-FR"/>
        </w:rPr>
        <w:t xml:space="preserve"> manque de célérité</w:t>
      </w:r>
      <w:r w:rsidR="002E5711" w:rsidRPr="00130C7A">
        <w:rPr>
          <w:lang w:val="fr-FR"/>
        </w:rPr>
        <w:t xml:space="preserve"> </w:t>
      </w:r>
      <w:r w:rsidR="00B067BA" w:rsidRPr="00130C7A">
        <w:rPr>
          <w:lang w:val="fr-FR"/>
        </w:rPr>
        <w:t>et d</w:t>
      </w:r>
      <w:r w:rsidR="00130C7A" w:rsidRPr="00130C7A">
        <w:rPr>
          <w:lang w:val="fr-FR"/>
        </w:rPr>
        <w:t>’</w:t>
      </w:r>
      <w:r w:rsidR="00B067BA" w:rsidRPr="00130C7A">
        <w:rPr>
          <w:lang w:val="fr-FR"/>
        </w:rPr>
        <w:t>eff</w:t>
      </w:r>
      <w:r w:rsidR="005B4FA4" w:rsidRPr="00130C7A">
        <w:rPr>
          <w:lang w:val="fr-FR"/>
        </w:rPr>
        <w:t>ectivi</w:t>
      </w:r>
      <w:r w:rsidR="00B067BA" w:rsidRPr="00130C7A">
        <w:rPr>
          <w:lang w:val="fr-FR"/>
        </w:rPr>
        <w:t xml:space="preserve">té </w:t>
      </w:r>
      <w:r w:rsidR="002E5711" w:rsidRPr="00130C7A">
        <w:rPr>
          <w:lang w:val="fr-FR"/>
        </w:rPr>
        <w:t>de l</w:t>
      </w:r>
      <w:r w:rsidR="00130C7A" w:rsidRPr="00130C7A">
        <w:rPr>
          <w:lang w:val="fr-FR"/>
        </w:rPr>
        <w:t>’</w:t>
      </w:r>
      <w:r w:rsidR="002E5711" w:rsidRPr="00130C7A">
        <w:rPr>
          <w:lang w:val="fr-FR"/>
        </w:rPr>
        <w:t>enquête</w:t>
      </w:r>
      <w:r w:rsidR="00ED1C95" w:rsidRPr="00130C7A">
        <w:rPr>
          <w:lang w:val="fr-FR"/>
        </w:rPr>
        <w:t>,</w:t>
      </w:r>
      <w:r w:rsidR="002E5711" w:rsidRPr="00130C7A">
        <w:rPr>
          <w:lang w:val="fr-FR"/>
        </w:rPr>
        <w:t xml:space="preserve"> </w:t>
      </w:r>
      <w:r w:rsidR="0020051A" w:rsidRPr="00130C7A">
        <w:rPr>
          <w:lang w:val="fr-FR"/>
        </w:rPr>
        <w:t>ayant déterminé selon lui le classement des po</w:t>
      </w:r>
      <w:r w:rsidR="002E5711" w:rsidRPr="00130C7A">
        <w:rPr>
          <w:lang w:val="fr-FR"/>
        </w:rPr>
        <w:t>ursuites pour cause de prescription</w:t>
      </w:r>
      <w:r w:rsidR="00ED1C95" w:rsidRPr="00130C7A">
        <w:rPr>
          <w:lang w:val="fr-FR"/>
        </w:rPr>
        <w:t>,</w:t>
      </w:r>
      <w:r w:rsidR="0020051A" w:rsidRPr="00130C7A">
        <w:rPr>
          <w:lang w:val="fr-FR"/>
        </w:rPr>
        <w:t xml:space="preserve"> et</w:t>
      </w:r>
      <w:r w:rsidR="002E5711" w:rsidRPr="00130C7A">
        <w:rPr>
          <w:lang w:val="fr-FR"/>
        </w:rPr>
        <w:t>,</w:t>
      </w:r>
      <w:r w:rsidR="0020051A" w:rsidRPr="00130C7A">
        <w:rPr>
          <w:lang w:val="fr-FR"/>
        </w:rPr>
        <w:t xml:space="preserve"> par conséquent</w:t>
      </w:r>
      <w:r w:rsidR="002E5711" w:rsidRPr="00130C7A">
        <w:rPr>
          <w:lang w:val="fr-FR"/>
        </w:rPr>
        <w:t>,</w:t>
      </w:r>
      <w:r w:rsidR="0020051A" w:rsidRPr="00130C7A">
        <w:rPr>
          <w:lang w:val="fr-FR"/>
        </w:rPr>
        <w:t xml:space="preserve"> </w:t>
      </w:r>
      <w:r w:rsidR="00ED1C95" w:rsidRPr="00130C7A">
        <w:rPr>
          <w:lang w:val="fr-FR"/>
        </w:rPr>
        <w:t>d</w:t>
      </w:r>
      <w:r w:rsidR="00130C7A" w:rsidRPr="00130C7A">
        <w:rPr>
          <w:lang w:val="fr-FR"/>
        </w:rPr>
        <w:t>’</w:t>
      </w:r>
      <w:r w:rsidR="00ED1C95" w:rsidRPr="00130C7A">
        <w:rPr>
          <w:lang w:val="fr-FR"/>
        </w:rPr>
        <w:t xml:space="preserve">une </w:t>
      </w:r>
      <w:r w:rsidR="0020051A" w:rsidRPr="00130C7A">
        <w:rPr>
          <w:lang w:val="fr-FR"/>
        </w:rPr>
        <w:t xml:space="preserve">impossibilité </w:t>
      </w:r>
      <w:r w:rsidR="006E1324" w:rsidRPr="00130C7A">
        <w:rPr>
          <w:lang w:val="fr-FR"/>
        </w:rPr>
        <w:t>à</w:t>
      </w:r>
      <w:r w:rsidR="0020051A" w:rsidRPr="00130C7A">
        <w:rPr>
          <w:lang w:val="fr-FR"/>
        </w:rPr>
        <w:t xml:space="preserve"> faire poursuivre les res</w:t>
      </w:r>
      <w:r w:rsidR="0031455F" w:rsidRPr="00130C7A">
        <w:rPr>
          <w:lang w:val="fr-FR"/>
        </w:rPr>
        <w:t>ponsables du décès de son neveu.</w:t>
      </w:r>
    </w:p>
    <w:p w:rsidR="001E0028" w:rsidRPr="00130C7A" w:rsidRDefault="002E5711"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95</w:t>
      </w:r>
      <w:r w:rsidRPr="00130C7A">
        <w:rPr>
          <w:lang w:val="fr-FR"/>
        </w:rPr>
        <w:fldChar w:fldCharType="end"/>
      </w:r>
      <w:r w:rsidRPr="00130C7A">
        <w:rPr>
          <w:lang w:val="fr-FR"/>
        </w:rPr>
        <w:t>.  </w:t>
      </w:r>
      <w:r w:rsidR="00C62EF5" w:rsidRPr="00130C7A">
        <w:rPr>
          <w:lang w:val="fr-FR"/>
        </w:rPr>
        <w:t xml:space="preserve">La Cour relève </w:t>
      </w:r>
      <w:r w:rsidR="006D22E4" w:rsidRPr="00130C7A">
        <w:rPr>
          <w:lang w:val="fr-FR"/>
        </w:rPr>
        <w:t xml:space="preserve">que </w:t>
      </w:r>
      <w:r w:rsidR="00BD128F" w:rsidRPr="00130C7A">
        <w:rPr>
          <w:lang w:val="fr-FR"/>
        </w:rPr>
        <w:t xml:space="preserve">des agents de </w:t>
      </w:r>
      <w:r w:rsidR="006D22E4" w:rsidRPr="00130C7A">
        <w:rPr>
          <w:lang w:val="fr-FR"/>
        </w:rPr>
        <w:t xml:space="preserve">la police pénitentiaire </w:t>
      </w:r>
      <w:r w:rsidR="00BD128F" w:rsidRPr="00130C7A">
        <w:rPr>
          <w:lang w:val="fr-FR"/>
        </w:rPr>
        <w:t>sont</w:t>
      </w:r>
      <w:r w:rsidR="00ED1C95" w:rsidRPr="00130C7A">
        <w:rPr>
          <w:lang w:val="fr-FR"/>
        </w:rPr>
        <w:t xml:space="preserve"> </w:t>
      </w:r>
      <w:r w:rsidR="006D22E4" w:rsidRPr="00130C7A">
        <w:rPr>
          <w:lang w:val="fr-FR"/>
        </w:rPr>
        <w:t>interv</w:t>
      </w:r>
      <w:r w:rsidR="00ED1C95" w:rsidRPr="00130C7A">
        <w:rPr>
          <w:lang w:val="fr-FR"/>
        </w:rPr>
        <w:t>enu</w:t>
      </w:r>
      <w:r w:rsidR="00BD128F" w:rsidRPr="00130C7A">
        <w:rPr>
          <w:lang w:val="fr-FR"/>
        </w:rPr>
        <w:t>s</w:t>
      </w:r>
      <w:r w:rsidR="006D22E4" w:rsidRPr="00130C7A">
        <w:rPr>
          <w:lang w:val="fr-FR"/>
        </w:rPr>
        <w:t xml:space="preserve"> sur les lieux </w:t>
      </w:r>
      <w:r w:rsidR="00C62EF5" w:rsidRPr="00130C7A">
        <w:rPr>
          <w:lang w:val="fr-FR"/>
        </w:rPr>
        <w:t>immédiatement après l</w:t>
      </w:r>
      <w:r w:rsidR="006D22E4" w:rsidRPr="00130C7A">
        <w:rPr>
          <w:lang w:val="fr-FR"/>
        </w:rPr>
        <w:t xml:space="preserve">es faits et </w:t>
      </w:r>
      <w:r w:rsidR="00BD128F" w:rsidRPr="00130C7A">
        <w:rPr>
          <w:lang w:val="fr-FR"/>
        </w:rPr>
        <w:t>ont</w:t>
      </w:r>
      <w:r w:rsidR="00ED1C95" w:rsidRPr="00130C7A">
        <w:rPr>
          <w:lang w:val="fr-FR"/>
        </w:rPr>
        <w:t xml:space="preserve"> </w:t>
      </w:r>
      <w:r w:rsidR="006D22E4" w:rsidRPr="00130C7A">
        <w:rPr>
          <w:lang w:val="fr-FR"/>
        </w:rPr>
        <w:t>effectu</w:t>
      </w:r>
      <w:r w:rsidR="00ED1C95" w:rsidRPr="00130C7A">
        <w:rPr>
          <w:lang w:val="fr-FR"/>
        </w:rPr>
        <w:t>é</w:t>
      </w:r>
      <w:r w:rsidR="006D22E4" w:rsidRPr="00130C7A">
        <w:rPr>
          <w:lang w:val="fr-FR"/>
        </w:rPr>
        <w:t xml:space="preserve"> </w:t>
      </w:r>
      <w:r w:rsidR="00ED1C95" w:rsidRPr="00130C7A">
        <w:rPr>
          <w:lang w:val="fr-FR"/>
        </w:rPr>
        <w:t>l</w:t>
      </w:r>
      <w:r w:rsidR="00102B91" w:rsidRPr="00130C7A">
        <w:rPr>
          <w:lang w:val="fr-FR"/>
        </w:rPr>
        <w:t xml:space="preserve">es premières investigations </w:t>
      </w:r>
      <w:r w:rsidRPr="00130C7A">
        <w:rPr>
          <w:lang w:val="fr-FR"/>
        </w:rPr>
        <w:t>afin</w:t>
      </w:r>
      <w:r w:rsidR="00102B91" w:rsidRPr="00130C7A">
        <w:rPr>
          <w:lang w:val="fr-FR"/>
        </w:rPr>
        <w:t xml:space="preserve"> de recueillir</w:t>
      </w:r>
      <w:r w:rsidR="006D22E4" w:rsidRPr="00130C7A">
        <w:rPr>
          <w:lang w:val="fr-FR"/>
        </w:rPr>
        <w:t xml:space="preserve"> tout élément de preuve</w:t>
      </w:r>
      <w:r w:rsidR="0044083F" w:rsidRPr="00130C7A">
        <w:rPr>
          <w:lang w:val="fr-FR"/>
        </w:rPr>
        <w:t xml:space="preserve"> pertinent</w:t>
      </w:r>
      <w:r w:rsidR="00102B91" w:rsidRPr="00130C7A">
        <w:rPr>
          <w:lang w:val="fr-FR"/>
        </w:rPr>
        <w:t xml:space="preserve">. </w:t>
      </w:r>
      <w:r w:rsidR="00024C6E" w:rsidRPr="00130C7A">
        <w:rPr>
          <w:lang w:val="fr-FR"/>
        </w:rPr>
        <w:t>Le jour même, l</w:t>
      </w:r>
      <w:r w:rsidR="00E233EF" w:rsidRPr="00130C7A">
        <w:rPr>
          <w:lang w:val="fr-FR"/>
        </w:rPr>
        <w:t>e procureur</w:t>
      </w:r>
      <w:r w:rsidR="00432309" w:rsidRPr="00130C7A">
        <w:rPr>
          <w:lang w:val="fr-FR"/>
        </w:rPr>
        <w:t xml:space="preserve"> </w:t>
      </w:r>
      <w:r w:rsidR="00ED1C95" w:rsidRPr="00130C7A">
        <w:rPr>
          <w:lang w:val="fr-FR"/>
        </w:rPr>
        <w:t xml:space="preserve">a </w:t>
      </w:r>
      <w:r w:rsidR="00E233EF" w:rsidRPr="00130C7A">
        <w:rPr>
          <w:lang w:val="fr-FR"/>
        </w:rPr>
        <w:t>ouv</w:t>
      </w:r>
      <w:r w:rsidR="00ED1C95" w:rsidRPr="00130C7A">
        <w:rPr>
          <w:lang w:val="fr-FR"/>
        </w:rPr>
        <w:t>ert</w:t>
      </w:r>
      <w:r w:rsidR="00C62EF5" w:rsidRPr="00130C7A">
        <w:rPr>
          <w:lang w:val="fr-FR"/>
        </w:rPr>
        <w:t xml:space="preserve"> une enquête pénale</w:t>
      </w:r>
      <w:r w:rsidR="00024C6E" w:rsidRPr="00130C7A">
        <w:rPr>
          <w:lang w:val="fr-FR"/>
        </w:rPr>
        <w:t>.</w:t>
      </w:r>
      <w:r w:rsidR="00C62EF5" w:rsidRPr="00130C7A">
        <w:rPr>
          <w:lang w:val="fr-FR"/>
        </w:rPr>
        <w:t xml:space="preserve"> </w:t>
      </w:r>
      <w:r w:rsidR="00E53F5B" w:rsidRPr="00130C7A">
        <w:rPr>
          <w:lang w:val="fr-FR"/>
        </w:rPr>
        <w:t>L</w:t>
      </w:r>
      <w:r w:rsidR="00130C7A" w:rsidRPr="00130C7A">
        <w:rPr>
          <w:lang w:val="fr-FR"/>
        </w:rPr>
        <w:t>’</w:t>
      </w:r>
      <w:r w:rsidR="0044083F" w:rsidRPr="00130C7A">
        <w:rPr>
          <w:lang w:val="fr-FR"/>
        </w:rPr>
        <w:t>autopsie</w:t>
      </w:r>
      <w:r w:rsidRPr="00130C7A">
        <w:rPr>
          <w:lang w:val="fr-FR"/>
        </w:rPr>
        <w:t xml:space="preserve"> sur le corps de la victime</w:t>
      </w:r>
      <w:r w:rsidR="0044083F" w:rsidRPr="00130C7A">
        <w:rPr>
          <w:lang w:val="fr-FR"/>
        </w:rPr>
        <w:t xml:space="preserve"> </w:t>
      </w:r>
      <w:r w:rsidR="00ED1C95" w:rsidRPr="00130C7A">
        <w:rPr>
          <w:lang w:val="fr-FR"/>
        </w:rPr>
        <w:t>a été</w:t>
      </w:r>
      <w:r w:rsidR="0044083F" w:rsidRPr="00130C7A">
        <w:rPr>
          <w:lang w:val="fr-FR"/>
        </w:rPr>
        <w:t xml:space="preserve"> effect</w:t>
      </w:r>
      <w:r w:rsidR="00E233EF" w:rsidRPr="00130C7A">
        <w:rPr>
          <w:lang w:val="fr-FR"/>
        </w:rPr>
        <w:t>uée le lendemain du décès et</w:t>
      </w:r>
      <w:r w:rsidR="00432309" w:rsidRPr="00130C7A">
        <w:rPr>
          <w:lang w:val="fr-FR"/>
        </w:rPr>
        <w:t xml:space="preserve"> </w:t>
      </w:r>
      <w:r w:rsidR="00ED1C95" w:rsidRPr="00130C7A">
        <w:rPr>
          <w:lang w:val="fr-FR"/>
        </w:rPr>
        <w:t xml:space="preserve">a </w:t>
      </w:r>
      <w:r w:rsidR="00432309" w:rsidRPr="00130C7A">
        <w:rPr>
          <w:lang w:val="fr-FR"/>
        </w:rPr>
        <w:t>donn</w:t>
      </w:r>
      <w:r w:rsidR="00ED1C95" w:rsidRPr="00130C7A">
        <w:rPr>
          <w:lang w:val="fr-FR"/>
        </w:rPr>
        <w:t>é</w:t>
      </w:r>
      <w:r w:rsidR="00432309" w:rsidRPr="00130C7A">
        <w:rPr>
          <w:lang w:val="fr-FR"/>
        </w:rPr>
        <w:t xml:space="preserve"> lieu à un</w:t>
      </w:r>
      <w:r w:rsidR="00B51828" w:rsidRPr="00130C7A">
        <w:rPr>
          <w:lang w:val="fr-FR"/>
        </w:rPr>
        <w:t>e première expertise</w:t>
      </w:r>
      <w:r w:rsidR="00E233EF" w:rsidRPr="00130C7A">
        <w:rPr>
          <w:lang w:val="fr-FR"/>
        </w:rPr>
        <w:t xml:space="preserve"> médicolégal</w:t>
      </w:r>
      <w:r w:rsidR="00B51828" w:rsidRPr="00130C7A">
        <w:rPr>
          <w:lang w:val="fr-FR"/>
        </w:rPr>
        <w:t>e</w:t>
      </w:r>
      <w:r w:rsidR="00ED1C95" w:rsidRPr="00130C7A">
        <w:rPr>
          <w:lang w:val="fr-FR"/>
        </w:rPr>
        <w:t>,</w:t>
      </w:r>
      <w:r w:rsidR="00E233EF" w:rsidRPr="00130C7A">
        <w:rPr>
          <w:lang w:val="fr-FR"/>
        </w:rPr>
        <w:t xml:space="preserve"> </w:t>
      </w:r>
      <w:r w:rsidR="00B51828" w:rsidRPr="00130C7A">
        <w:rPr>
          <w:lang w:val="fr-FR"/>
        </w:rPr>
        <w:t>dont le rapport</w:t>
      </w:r>
      <w:r w:rsidR="00E233EF" w:rsidRPr="00130C7A">
        <w:rPr>
          <w:lang w:val="fr-FR"/>
        </w:rPr>
        <w:t xml:space="preserve"> </w:t>
      </w:r>
      <w:r w:rsidR="00ED1C95" w:rsidRPr="00130C7A">
        <w:rPr>
          <w:lang w:val="fr-FR"/>
        </w:rPr>
        <w:t>a été</w:t>
      </w:r>
      <w:r w:rsidR="00E233EF" w:rsidRPr="00130C7A">
        <w:rPr>
          <w:lang w:val="fr-FR"/>
        </w:rPr>
        <w:t xml:space="preserve"> déposé sept mois plus tard.</w:t>
      </w:r>
    </w:p>
    <w:p w:rsidR="00D82BCC" w:rsidRPr="00130C7A" w:rsidRDefault="00AD179D"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96</w:t>
      </w:r>
      <w:r w:rsidRPr="00130C7A">
        <w:rPr>
          <w:lang w:val="fr-FR"/>
        </w:rPr>
        <w:fldChar w:fldCharType="end"/>
      </w:r>
      <w:r w:rsidRPr="00130C7A">
        <w:rPr>
          <w:lang w:val="fr-FR"/>
        </w:rPr>
        <w:t>.  </w:t>
      </w:r>
      <w:r w:rsidR="00136D77" w:rsidRPr="00130C7A">
        <w:rPr>
          <w:lang w:val="fr-FR"/>
        </w:rPr>
        <w:t>La Cour relève aussi que, à</w:t>
      </w:r>
      <w:r w:rsidR="009119DF" w:rsidRPr="00130C7A">
        <w:rPr>
          <w:lang w:val="fr-FR"/>
        </w:rPr>
        <w:t xml:space="preserve"> la lumière des conclusions de </w:t>
      </w:r>
      <w:r w:rsidR="00432309" w:rsidRPr="00130C7A">
        <w:rPr>
          <w:lang w:val="fr-FR"/>
        </w:rPr>
        <w:t xml:space="preserve">cette première expertise, les investigations </w:t>
      </w:r>
      <w:r w:rsidR="00136D77" w:rsidRPr="00130C7A">
        <w:rPr>
          <w:lang w:val="fr-FR"/>
        </w:rPr>
        <w:t>ont été</w:t>
      </w:r>
      <w:r w:rsidR="00D15595" w:rsidRPr="00130C7A">
        <w:rPr>
          <w:lang w:val="fr-FR"/>
        </w:rPr>
        <w:t xml:space="preserve"> orientées</w:t>
      </w:r>
      <w:r w:rsidR="002E5711" w:rsidRPr="00130C7A">
        <w:rPr>
          <w:lang w:val="fr-FR"/>
        </w:rPr>
        <w:t xml:space="preserve"> dans un premier </w:t>
      </w:r>
      <w:r w:rsidR="00B534DC" w:rsidRPr="00130C7A">
        <w:rPr>
          <w:lang w:val="fr-FR"/>
        </w:rPr>
        <w:t>temps</w:t>
      </w:r>
      <w:r w:rsidR="00D15595" w:rsidRPr="00130C7A">
        <w:rPr>
          <w:lang w:val="fr-FR"/>
        </w:rPr>
        <w:t xml:space="preserve"> vers</w:t>
      </w:r>
      <w:r w:rsidR="00B345FE" w:rsidRPr="00130C7A">
        <w:rPr>
          <w:lang w:val="fr-FR"/>
        </w:rPr>
        <w:t xml:space="preserve"> la thèse de </w:t>
      </w:r>
      <w:r w:rsidR="000A4664" w:rsidRPr="00130C7A">
        <w:rPr>
          <w:lang w:val="fr-FR"/>
        </w:rPr>
        <w:t xml:space="preserve">la mort </w:t>
      </w:r>
      <w:r w:rsidR="009F3A89" w:rsidRPr="00130C7A">
        <w:rPr>
          <w:lang w:val="fr-FR"/>
        </w:rPr>
        <w:t>causé</w:t>
      </w:r>
      <w:r w:rsidR="000A4664" w:rsidRPr="00130C7A">
        <w:rPr>
          <w:lang w:val="fr-FR"/>
        </w:rPr>
        <w:t>e</w:t>
      </w:r>
      <w:r w:rsidR="009F3A89" w:rsidRPr="00130C7A">
        <w:rPr>
          <w:lang w:val="fr-FR"/>
        </w:rPr>
        <w:t xml:space="preserve"> par</w:t>
      </w:r>
      <w:r w:rsidR="00C17DB3" w:rsidRPr="00130C7A">
        <w:rPr>
          <w:lang w:val="fr-FR"/>
        </w:rPr>
        <w:t xml:space="preserve"> </w:t>
      </w:r>
      <w:r w:rsidR="007F25E9" w:rsidRPr="00130C7A">
        <w:rPr>
          <w:lang w:val="fr-FR"/>
        </w:rPr>
        <w:t xml:space="preserve">des tiers </w:t>
      </w:r>
      <w:r w:rsidR="00136D77" w:rsidRPr="00130C7A">
        <w:rPr>
          <w:lang w:val="fr-FR"/>
        </w:rPr>
        <w:t xml:space="preserve">à la </w:t>
      </w:r>
      <w:r w:rsidR="007F25E9" w:rsidRPr="00130C7A">
        <w:rPr>
          <w:lang w:val="fr-FR"/>
        </w:rPr>
        <w:t xml:space="preserve">suite </w:t>
      </w:r>
      <w:r w:rsidR="00136D77" w:rsidRPr="00130C7A">
        <w:rPr>
          <w:lang w:val="fr-FR"/>
        </w:rPr>
        <w:t>de</w:t>
      </w:r>
      <w:r w:rsidR="007F25E9" w:rsidRPr="00130C7A">
        <w:rPr>
          <w:lang w:val="fr-FR"/>
        </w:rPr>
        <w:t xml:space="preserve"> </w:t>
      </w:r>
      <w:r w:rsidR="00C17DB3" w:rsidRPr="00130C7A">
        <w:rPr>
          <w:lang w:val="fr-FR"/>
        </w:rPr>
        <w:t>l</w:t>
      </w:r>
      <w:r w:rsidR="00130C7A" w:rsidRPr="00130C7A">
        <w:rPr>
          <w:lang w:val="fr-FR"/>
        </w:rPr>
        <w:t>’</w:t>
      </w:r>
      <w:r w:rsidR="00C17DB3" w:rsidRPr="00130C7A">
        <w:rPr>
          <w:lang w:val="fr-FR"/>
        </w:rPr>
        <w:t>utilisation d</w:t>
      </w:r>
      <w:r w:rsidR="00130C7A" w:rsidRPr="00130C7A">
        <w:rPr>
          <w:lang w:val="fr-FR"/>
        </w:rPr>
        <w:t>’</w:t>
      </w:r>
      <w:r w:rsidR="00C17DB3" w:rsidRPr="00130C7A">
        <w:rPr>
          <w:lang w:val="fr-FR"/>
        </w:rPr>
        <w:t xml:space="preserve">un </w:t>
      </w:r>
      <w:r w:rsidR="00FE1F59" w:rsidRPr="00130C7A">
        <w:rPr>
          <w:lang w:val="fr-FR"/>
        </w:rPr>
        <w:t>appareil</w:t>
      </w:r>
      <w:r w:rsidR="00C17DB3" w:rsidRPr="00130C7A">
        <w:rPr>
          <w:lang w:val="fr-FR"/>
        </w:rPr>
        <w:t xml:space="preserve"> de dissuasion à impulsion électrique</w:t>
      </w:r>
      <w:r w:rsidR="00620464" w:rsidRPr="00130C7A">
        <w:rPr>
          <w:lang w:val="fr-FR"/>
        </w:rPr>
        <w:t>,</w:t>
      </w:r>
      <w:r w:rsidR="00B345FE" w:rsidRPr="00130C7A">
        <w:rPr>
          <w:lang w:val="fr-FR"/>
        </w:rPr>
        <w:t xml:space="preserve"> au vu notamment de la présence sur le corps de la victime de blessures compatibles avec </w:t>
      </w:r>
      <w:r w:rsidR="00620464" w:rsidRPr="00130C7A">
        <w:rPr>
          <w:lang w:val="fr-FR"/>
        </w:rPr>
        <w:t>une électrocution</w:t>
      </w:r>
      <w:r w:rsidR="00AA61B0" w:rsidRPr="00130C7A">
        <w:rPr>
          <w:lang w:val="fr-FR"/>
        </w:rPr>
        <w:t xml:space="preserve">. </w:t>
      </w:r>
      <w:r w:rsidR="00620464" w:rsidRPr="00130C7A">
        <w:rPr>
          <w:lang w:val="fr-FR"/>
        </w:rPr>
        <w:t>Ce n</w:t>
      </w:r>
      <w:r w:rsidR="00130C7A" w:rsidRPr="00130C7A">
        <w:rPr>
          <w:lang w:val="fr-FR"/>
        </w:rPr>
        <w:t>’</w:t>
      </w:r>
      <w:r w:rsidR="00136D77" w:rsidRPr="00130C7A">
        <w:rPr>
          <w:lang w:val="fr-FR"/>
        </w:rPr>
        <w:t xml:space="preserve">est </w:t>
      </w:r>
      <w:r w:rsidR="00620464" w:rsidRPr="00130C7A">
        <w:rPr>
          <w:lang w:val="fr-FR"/>
        </w:rPr>
        <w:t>qu</w:t>
      </w:r>
      <w:r w:rsidR="00130C7A" w:rsidRPr="00130C7A">
        <w:rPr>
          <w:lang w:val="fr-FR"/>
        </w:rPr>
        <w:t>’</w:t>
      </w:r>
      <w:r w:rsidR="00620464" w:rsidRPr="00130C7A">
        <w:rPr>
          <w:lang w:val="fr-FR"/>
        </w:rPr>
        <w:t>à l</w:t>
      </w:r>
      <w:r w:rsidR="00130C7A" w:rsidRPr="00130C7A">
        <w:rPr>
          <w:lang w:val="fr-FR"/>
        </w:rPr>
        <w:t>’</w:t>
      </w:r>
      <w:r w:rsidR="00620464" w:rsidRPr="00130C7A">
        <w:rPr>
          <w:lang w:val="fr-FR"/>
        </w:rPr>
        <w:t xml:space="preserve">issue </w:t>
      </w:r>
      <w:r w:rsidR="00024C6E" w:rsidRPr="00130C7A">
        <w:rPr>
          <w:lang w:val="fr-FR"/>
        </w:rPr>
        <w:t>d</w:t>
      </w:r>
      <w:r w:rsidR="00130C7A" w:rsidRPr="00130C7A">
        <w:rPr>
          <w:lang w:val="fr-FR"/>
        </w:rPr>
        <w:t>’</w:t>
      </w:r>
      <w:r w:rsidR="00024C6E" w:rsidRPr="00130C7A">
        <w:rPr>
          <w:lang w:val="fr-FR"/>
        </w:rPr>
        <w:t>une</w:t>
      </w:r>
      <w:r w:rsidR="00620464" w:rsidRPr="00130C7A">
        <w:rPr>
          <w:lang w:val="fr-FR"/>
        </w:rPr>
        <w:t xml:space="preserve"> deuxième e</w:t>
      </w:r>
      <w:r w:rsidR="00C70C81" w:rsidRPr="00130C7A">
        <w:rPr>
          <w:lang w:val="fr-FR"/>
        </w:rPr>
        <w:t>x</w:t>
      </w:r>
      <w:r w:rsidR="00620464" w:rsidRPr="00130C7A">
        <w:rPr>
          <w:lang w:val="fr-FR"/>
        </w:rPr>
        <w:t>pertise</w:t>
      </w:r>
      <w:r w:rsidR="00B067BA" w:rsidRPr="00130C7A">
        <w:rPr>
          <w:lang w:val="fr-FR"/>
        </w:rPr>
        <w:t xml:space="preserve"> ordonnée par le parquet</w:t>
      </w:r>
      <w:r w:rsidR="00620464" w:rsidRPr="00130C7A">
        <w:rPr>
          <w:lang w:val="fr-FR"/>
        </w:rPr>
        <w:t xml:space="preserve"> </w:t>
      </w:r>
      <w:r w:rsidR="009F3A89" w:rsidRPr="00130C7A">
        <w:rPr>
          <w:lang w:val="fr-FR"/>
        </w:rPr>
        <w:t xml:space="preserve">le 13 juillet 2006 </w:t>
      </w:r>
      <w:r w:rsidR="00C70C81" w:rsidRPr="00130C7A">
        <w:rPr>
          <w:lang w:val="fr-FR"/>
        </w:rPr>
        <w:t xml:space="preserve">que les autorités </w:t>
      </w:r>
      <w:r w:rsidR="000E32ED" w:rsidRPr="00130C7A">
        <w:rPr>
          <w:lang w:val="fr-FR"/>
        </w:rPr>
        <w:t xml:space="preserve">de poursuite </w:t>
      </w:r>
      <w:r w:rsidR="00136D77" w:rsidRPr="00130C7A">
        <w:rPr>
          <w:lang w:val="fr-FR"/>
        </w:rPr>
        <w:t xml:space="preserve">ont </w:t>
      </w:r>
      <w:r w:rsidR="00856394" w:rsidRPr="00130C7A">
        <w:rPr>
          <w:lang w:val="fr-FR"/>
        </w:rPr>
        <w:t>opt</w:t>
      </w:r>
      <w:r w:rsidR="00136D77" w:rsidRPr="00130C7A">
        <w:rPr>
          <w:lang w:val="fr-FR"/>
        </w:rPr>
        <w:t>é</w:t>
      </w:r>
      <w:r w:rsidR="00C70C81" w:rsidRPr="00130C7A">
        <w:rPr>
          <w:lang w:val="fr-FR"/>
        </w:rPr>
        <w:t xml:space="preserve"> pour l</w:t>
      </w:r>
      <w:r w:rsidR="00A358C7" w:rsidRPr="00130C7A">
        <w:rPr>
          <w:lang w:val="fr-FR"/>
        </w:rPr>
        <w:t>a thèse de l</w:t>
      </w:r>
      <w:r w:rsidR="00130C7A" w:rsidRPr="00130C7A">
        <w:rPr>
          <w:lang w:val="fr-FR"/>
        </w:rPr>
        <w:t>’</w:t>
      </w:r>
      <w:r w:rsidR="00C70C81" w:rsidRPr="00130C7A">
        <w:rPr>
          <w:lang w:val="fr-FR"/>
        </w:rPr>
        <w:t xml:space="preserve">intoxication </w:t>
      </w:r>
      <w:r w:rsidR="00C7561C" w:rsidRPr="00130C7A">
        <w:rPr>
          <w:lang w:val="fr-FR"/>
        </w:rPr>
        <w:t xml:space="preserve">au </w:t>
      </w:r>
      <w:r w:rsidR="00C70C81" w:rsidRPr="00130C7A">
        <w:rPr>
          <w:lang w:val="fr-FR"/>
        </w:rPr>
        <w:t>gaz</w:t>
      </w:r>
      <w:r w:rsidR="00A358C7" w:rsidRPr="00130C7A">
        <w:rPr>
          <w:lang w:val="fr-FR"/>
        </w:rPr>
        <w:t xml:space="preserve"> </w:t>
      </w:r>
      <w:r w:rsidR="00024C6E" w:rsidRPr="00130C7A">
        <w:rPr>
          <w:lang w:val="fr-FR"/>
        </w:rPr>
        <w:t>dé</w:t>
      </w:r>
      <w:r w:rsidR="00EB2D73" w:rsidRPr="00130C7A">
        <w:rPr>
          <w:lang w:val="fr-FR"/>
        </w:rPr>
        <w:t>coulant</w:t>
      </w:r>
      <w:r w:rsidR="00024C6E" w:rsidRPr="00130C7A">
        <w:rPr>
          <w:lang w:val="fr-FR"/>
        </w:rPr>
        <w:t xml:space="preserve"> </w:t>
      </w:r>
      <w:r w:rsidR="002E5711" w:rsidRPr="00130C7A">
        <w:rPr>
          <w:lang w:val="fr-FR"/>
        </w:rPr>
        <w:t>d</w:t>
      </w:r>
      <w:r w:rsidR="00130C7A" w:rsidRPr="00130C7A">
        <w:rPr>
          <w:lang w:val="fr-FR"/>
        </w:rPr>
        <w:t>’</w:t>
      </w:r>
      <w:r w:rsidR="002E5711" w:rsidRPr="00130C7A">
        <w:rPr>
          <w:lang w:val="fr-FR"/>
        </w:rPr>
        <w:t xml:space="preserve">un acte </w:t>
      </w:r>
      <w:r w:rsidR="00A358C7" w:rsidRPr="00130C7A">
        <w:rPr>
          <w:lang w:val="fr-FR"/>
        </w:rPr>
        <w:t>volontaire</w:t>
      </w:r>
      <w:r w:rsidR="002E5711" w:rsidRPr="00130C7A">
        <w:rPr>
          <w:lang w:val="fr-FR"/>
        </w:rPr>
        <w:t xml:space="preserve"> de la victime</w:t>
      </w:r>
      <w:r w:rsidR="00024C6E" w:rsidRPr="00130C7A">
        <w:rPr>
          <w:lang w:val="fr-FR"/>
        </w:rPr>
        <w:t>.</w:t>
      </w:r>
      <w:r w:rsidR="00B067BA" w:rsidRPr="00130C7A">
        <w:rPr>
          <w:lang w:val="fr-FR"/>
        </w:rPr>
        <w:t xml:space="preserve"> Cette thèse était par ailleurs corroborée par les autres éléments recueillis au cours de l</w:t>
      </w:r>
      <w:r w:rsidR="00130C7A" w:rsidRPr="00130C7A">
        <w:rPr>
          <w:lang w:val="fr-FR"/>
        </w:rPr>
        <w:t>’</w:t>
      </w:r>
      <w:r w:rsidR="00B067BA" w:rsidRPr="00130C7A">
        <w:rPr>
          <w:lang w:val="fr-FR"/>
        </w:rPr>
        <w:t>enquête</w:t>
      </w:r>
      <w:r w:rsidR="00C70C81" w:rsidRPr="00130C7A">
        <w:rPr>
          <w:i/>
          <w:lang w:val="fr-FR"/>
        </w:rPr>
        <w:t xml:space="preserve"> </w:t>
      </w:r>
      <w:r w:rsidR="00C70C81" w:rsidRPr="00130C7A">
        <w:rPr>
          <w:lang w:val="fr-FR"/>
        </w:rPr>
        <w:t>tels que le</w:t>
      </w:r>
      <w:r w:rsidR="00DD25EF" w:rsidRPr="00130C7A">
        <w:rPr>
          <w:lang w:val="fr-FR"/>
        </w:rPr>
        <w:t>s</w:t>
      </w:r>
      <w:r w:rsidR="00C70C81" w:rsidRPr="00130C7A">
        <w:rPr>
          <w:lang w:val="fr-FR"/>
        </w:rPr>
        <w:t xml:space="preserve"> témoignage</w:t>
      </w:r>
      <w:r w:rsidR="00DD25EF" w:rsidRPr="00130C7A">
        <w:rPr>
          <w:lang w:val="fr-FR"/>
        </w:rPr>
        <w:t>s</w:t>
      </w:r>
      <w:r w:rsidR="00C70C81" w:rsidRPr="00130C7A">
        <w:rPr>
          <w:lang w:val="fr-FR"/>
        </w:rPr>
        <w:t xml:space="preserve"> de S</w:t>
      </w:r>
      <w:r w:rsidR="00DD25EF" w:rsidRPr="00130C7A">
        <w:rPr>
          <w:lang w:val="fr-FR"/>
        </w:rPr>
        <w:t>.</w:t>
      </w:r>
      <w:r w:rsidR="00C70C81" w:rsidRPr="00130C7A">
        <w:rPr>
          <w:lang w:val="fr-FR"/>
        </w:rPr>
        <w:t>R</w:t>
      </w:r>
      <w:r w:rsidR="007F25E9" w:rsidRPr="00130C7A">
        <w:rPr>
          <w:lang w:val="fr-FR"/>
        </w:rPr>
        <w:t>. et des</w:t>
      </w:r>
      <w:r w:rsidR="00E73F71" w:rsidRPr="00130C7A">
        <w:rPr>
          <w:lang w:val="fr-FR"/>
        </w:rPr>
        <w:t xml:space="preserve"> différents</w:t>
      </w:r>
      <w:r w:rsidR="007F25E9" w:rsidRPr="00130C7A">
        <w:rPr>
          <w:lang w:val="fr-FR"/>
        </w:rPr>
        <w:t xml:space="preserve"> représentant</w:t>
      </w:r>
      <w:r w:rsidR="00E73F71" w:rsidRPr="00130C7A">
        <w:rPr>
          <w:lang w:val="fr-FR"/>
        </w:rPr>
        <w:t>s</w:t>
      </w:r>
      <w:r w:rsidR="007F25E9" w:rsidRPr="00130C7A">
        <w:rPr>
          <w:lang w:val="fr-FR"/>
        </w:rPr>
        <w:t xml:space="preserve"> de l</w:t>
      </w:r>
      <w:r w:rsidR="00130C7A" w:rsidRPr="00130C7A">
        <w:rPr>
          <w:lang w:val="fr-FR"/>
        </w:rPr>
        <w:t>’</w:t>
      </w:r>
      <w:r w:rsidR="007F25E9" w:rsidRPr="00130C7A">
        <w:rPr>
          <w:lang w:val="fr-FR"/>
        </w:rPr>
        <w:t>administration pénitentiaire</w:t>
      </w:r>
      <w:r w:rsidR="00C7561C" w:rsidRPr="00130C7A">
        <w:rPr>
          <w:lang w:val="fr-FR"/>
        </w:rPr>
        <w:t xml:space="preserve">, </w:t>
      </w:r>
      <w:r w:rsidR="00C70C81" w:rsidRPr="00130C7A">
        <w:rPr>
          <w:lang w:val="fr-FR"/>
        </w:rPr>
        <w:t xml:space="preserve">le contenu du dossier médical </w:t>
      </w:r>
      <w:r w:rsidR="00DD25EF" w:rsidRPr="00130C7A">
        <w:rPr>
          <w:lang w:val="fr-FR"/>
        </w:rPr>
        <w:t>et</w:t>
      </w:r>
      <w:r w:rsidR="00C70C81" w:rsidRPr="00130C7A">
        <w:rPr>
          <w:lang w:val="fr-FR"/>
        </w:rPr>
        <w:t xml:space="preserve"> du</w:t>
      </w:r>
      <w:r w:rsidR="00856394" w:rsidRPr="00130C7A">
        <w:rPr>
          <w:lang w:val="fr-FR"/>
        </w:rPr>
        <w:t xml:space="preserve"> </w:t>
      </w:r>
      <w:r w:rsidR="00C70C81" w:rsidRPr="00130C7A">
        <w:rPr>
          <w:lang w:val="fr-FR"/>
        </w:rPr>
        <w:t xml:space="preserve">registre </w:t>
      </w:r>
      <w:r w:rsidR="00C7561C" w:rsidRPr="00130C7A">
        <w:rPr>
          <w:lang w:val="fr-FR"/>
        </w:rPr>
        <w:t xml:space="preserve">pénitentiaire </w:t>
      </w:r>
      <w:r w:rsidR="00DD25EF" w:rsidRPr="00130C7A">
        <w:rPr>
          <w:lang w:val="fr-FR"/>
        </w:rPr>
        <w:t>des sanctions disciplinaires</w:t>
      </w:r>
      <w:r w:rsidR="004F1067" w:rsidRPr="00130C7A">
        <w:rPr>
          <w:lang w:val="fr-FR"/>
        </w:rPr>
        <w:t>.</w:t>
      </w:r>
      <w:r w:rsidR="000A4664" w:rsidRPr="00130C7A">
        <w:rPr>
          <w:lang w:val="fr-FR"/>
        </w:rPr>
        <w:t xml:space="preserve"> </w:t>
      </w:r>
      <w:r w:rsidR="006C6BAA" w:rsidRPr="00130C7A">
        <w:rPr>
          <w:lang w:val="fr-FR"/>
        </w:rPr>
        <w:t>La deuxième</w:t>
      </w:r>
      <w:r w:rsidR="00A96FE3" w:rsidRPr="00130C7A">
        <w:rPr>
          <w:lang w:val="fr-FR"/>
        </w:rPr>
        <w:t xml:space="preserve"> </w:t>
      </w:r>
      <w:r w:rsidR="006C6BAA" w:rsidRPr="00130C7A">
        <w:rPr>
          <w:lang w:val="fr-FR"/>
        </w:rPr>
        <w:t>partie de l</w:t>
      </w:r>
      <w:r w:rsidR="00130C7A" w:rsidRPr="00130C7A">
        <w:rPr>
          <w:lang w:val="fr-FR"/>
        </w:rPr>
        <w:t>’</w:t>
      </w:r>
      <w:r w:rsidR="006C6BAA" w:rsidRPr="00130C7A">
        <w:rPr>
          <w:lang w:val="fr-FR"/>
        </w:rPr>
        <w:t>enquête préliminaire</w:t>
      </w:r>
      <w:r w:rsidR="00C303A1" w:rsidRPr="00130C7A">
        <w:rPr>
          <w:lang w:val="fr-FR"/>
        </w:rPr>
        <w:t>, à compter notamment de la décision du</w:t>
      </w:r>
      <w:r w:rsidR="009326D4" w:rsidRPr="00130C7A">
        <w:rPr>
          <w:lang w:val="fr-FR"/>
        </w:rPr>
        <w:t xml:space="preserve"> juge des investigations préliminaires</w:t>
      </w:r>
      <w:r w:rsidR="00C303A1" w:rsidRPr="00130C7A">
        <w:rPr>
          <w:lang w:val="fr-FR"/>
        </w:rPr>
        <w:t xml:space="preserve"> du 1</w:t>
      </w:r>
      <w:r w:rsidR="00C303A1" w:rsidRPr="00130C7A">
        <w:rPr>
          <w:vertAlign w:val="superscript"/>
          <w:lang w:val="fr-FR"/>
        </w:rPr>
        <w:t xml:space="preserve">er </w:t>
      </w:r>
      <w:r w:rsidR="00C303A1" w:rsidRPr="00130C7A">
        <w:rPr>
          <w:lang w:val="fr-FR"/>
        </w:rPr>
        <w:t>octobre 2009,</w:t>
      </w:r>
      <w:r w:rsidR="006C6BAA" w:rsidRPr="00130C7A">
        <w:rPr>
          <w:lang w:val="fr-FR"/>
        </w:rPr>
        <w:t xml:space="preserve"> </w:t>
      </w:r>
      <w:r w:rsidR="00C7561C" w:rsidRPr="00130C7A">
        <w:rPr>
          <w:lang w:val="fr-FR"/>
        </w:rPr>
        <w:t>a</w:t>
      </w:r>
      <w:r w:rsidR="006C6BAA" w:rsidRPr="00130C7A">
        <w:rPr>
          <w:lang w:val="fr-FR"/>
        </w:rPr>
        <w:t xml:space="preserve"> dès lors </w:t>
      </w:r>
      <w:r w:rsidR="00C7561C" w:rsidRPr="00130C7A">
        <w:rPr>
          <w:lang w:val="fr-FR"/>
        </w:rPr>
        <w:t xml:space="preserve">été </w:t>
      </w:r>
      <w:r w:rsidR="006C6BAA" w:rsidRPr="00130C7A">
        <w:rPr>
          <w:lang w:val="fr-FR"/>
        </w:rPr>
        <w:t>consacrée à la recherche d</w:t>
      </w:r>
      <w:r w:rsidR="00130C7A" w:rsidRPr="00130C7A">
        <w:rPr>
          <w:lang w:val="fr-FR"/>
        </w:rPr>
        <w:t>’</w:t>
      </w:r>
      <w:r w:rsidR="006C6BAA" w:rsidRPr="00130C7A">
        <w:rPr>
          <w:lang w:val="fr-FR"/>
        </w:rPr>
        <w:t xml:space="preserve">éléments pouvant </w:t>
      </w:r>
      <w:r w:rsidR="007E2D10" w:rsidRPr="00130C7A">
        <w:rPr>
          <w:lang w:val="fr-FR"/>
        </w:rPr>
        <w:t>é</w:t>
      </w:r>
      <w:r w:rsidR="0031455F" w:rsidRPr="00130C7A">
        <w:rPr>
          <w:lang w:val="fr-FR"/>
        </w:rPr>
        <w:t xml:space="preserve">tayer la thèse de la </w:t>
      </w:r>
      <w:r w:rsidR="00BC2B0A" w:rsidRPr="00130C7A">
        <w:rPr>
          <w:lang w:val="fr-FR"/>
        </w:rPr>
        <w:t xml:space="preserve">négligence </w:t>
      </w:r>
      <w:r w:rsidR="0031455F" w:rsidRPr="00130C7A">
        <w:rPr>
          <w:lang w:val="fr-FR"/>
        </w:rPr>
        <w:t xml:space="preserve">des </w:t>
      </w:r>
      <w:r w:rsidR="00E52AE9" w:rsidRPr="00130C7A">
        <w:rPr>
          <w:lang w:val="fr-FR"/>
        </w:rPr>
        <w:t>représentants</w:t>
      </w:r>
      <w:r w:rsidR="0031455F" w:rsidRPr="00130C7A">
        <w:rPr>
          <w:lang w:val="fr-FR"/>
        </w:rPr>
        <w:t xml:space="preserve"> de l</w:t>
      </w:r>
      <w:r w:rsidR="00130C7A" w:rsidRPr="00130C7A">
        <w:rPr>
          <w:lang w:val="fr-FR"/>
        </w:rPr>
        <w:t>’</w:t>
      </w:r>
      <w:r w:rsidR="0031455F" w:rsidRPr="00130C7A">
        <w:rPr>
          <w:lang w:val="fr-FR"/>
        </w:rPr>
        <w:t xml:space="preserve">administration </w:t>
      </w:r>
      <w:r w:rsidR="00E52AE9" w:rsidRPr="00130C7A">
        <w:rPr>
          <w:lang w:val="fr-FR"/>
        </w:rPr>
        <w:t>pénitentiaire</w:t>
      </w:r>
      <w:r w:rsidR="004F1067" w:rsidRPr="00130C7A">
        <w:rPr>
          <w:lang w:val="fr-FR"/>
        </w:rPr>
        <w:t>.</w:t>
      </w:r>
    </w:p>
    <w:p w:rsidR="002B7E08" w:rsidRPr="00130C7A" w:rsidRDefault="00024C6E" w:rsidP="00130C7A">
      <w:pPr>
        <w:pStyle w:val="ECHRPara"/>
        <w:rPr>
          <w:lang w:val="fr-FR"/>
        </w:rPr>
      </w:pPr>
      <w:r w:rsidRPr="00130C7A">
        <w:rPr>
          <w:lang w:val="fr-FR"/>
        </w:rPr>
        <w:lastRenderedPageBreak/>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97</w:t>
      </w:r>
      <w:r w:rsidRPr="00130C7A">
        <w:rPr>
          <w:lang w:val="fr-FR"/>
        </w:rPr>
        <w:fldChar w:fldCharType="end"/>
      </w:r>
      <w:r w:rsidRPr="00130C7A">
        <w:rPr>
          <w:lang w:val="fr-FR"/>
        </w:rPr>
        <w:t>.  </w:t>
      </w:r>
      <w:r w:rsidR="000E32ED" w:rsidRPr="00130C7A">
        <w:rPr>
          <w:lang w:val="fr-FR"/>
        </w:rPr>
        <w:t>La Cour</w:t>
      </w:r>
      <w:r w:rsidR="00263A8E" w:rsidRPr="00130C7A">
        <w:rPr>
          <w:lang w:val="fr-FR"/>
        </w:rPr>
        <w:t xml:space="preserve"> </w:t>
      </w:r>
      <w:r w:rsidR="00BD5DBD" w:rsidRPr="00130C7A">
        <w:rPr>
          <w:lang w:val="fr-FR"/>
        </w:rPr>
        <w:t>considère</w:t>
      </w:r>
      <w:r w:rsidR="00263A8E" w:rsidRPr="00130C7A">
        <w:rPr>
          <w:lang w:val="fr-FR"/>
        </w:rPr>
        <w:t xml:space="preserve"> </w:t>
      </w:r>
      <w:r w:rsidR="0031455F" w:rsidRPr="00130C7A">
        <w:rPr>
          <w:lang w:val="fr-FR"/>
        </w:rPr>
        <w:t>tout d</w:t>
      </w:r>
      <w:r w:rsidR="00130C7A" w:rsidRPr="00130C7A">
        <w:rPr>
          <w:lang w:val="fr-FR"/>
        </w:rPr>
        <w:t>’</w:t>
      </w:r>
      <w:r w:rsidR="0031455F" w:rsidRPr="00130C7A">
        <w:rPr>
          <w:lang w:val="fr-FR"/>
        </w:rPr>
        <w:t xml:space="preserve">abord que </w:t>
      </w:r>
      <w:r w:rsidR="000E32ED" w:rsidRPr="00130C7A">
        <w:rPr>
          <w:lang w:val="fr-FR"/>
        </w:rPr>
        <w:t xml:space="preserve">les conclusions erronées </w:t>
      </w:r>
      <w:r w:rsidR="00282C91" w:rsidRPr="00130C7A">
        <w:rPr>
          <w:lang w:val="fr-FR"/>
        </w:rPr>
        <w:t>de</w:t>
      </w:r>
      <w:r w:rsidR="000E32ED" w:rsidRPr="00130C7A">
        <w:rPr>
          <w:lang w:val="fr-FR"/>
        </w:rPr>
        <w:t xml:space="preserve"> </w:t>
      </w:r>
      <w:r w:rsidR="00282C91" w:rsidRPr="00130C7A">
        <w:rPr>
          <w:lang w:val="fr-FR"/>
        </w:rPr>
        <w:t xml:space="preserve">la première expertise médicolégale concernant la cause du décès </w:t>
      </w:r>
      <w:r w:rsidR="00263A8E" w:rsidRPr="00130C7A">
        <w:rPr>
          <w:lang w:val="fr-FR"/>
        </w:rPr>
        <w:t>ne</w:t>
      </w:r>
      <w:r w:rsidR="002B7E08" w:rsidRPr="00130C7A">
        <w:rPr>
          <w:lang w:val="fr-FR"/>
        </w:rPr>
        <w:t xml:space="preserve"> </w:t>
      </w:r>
      <w:r w:rsidR="00263A8E" w:rsidRPr="00130C7A">
        <w:rPr>
          <w:lang w:val="fr-FR"/>
        </w:rPr>
        <w:t>sauraient entacher l</w:t>
      </w:r>
      <w:r w:rsidR="00130C7A" w:rsidRPr="00130C7A">
        <w:rPr>
          <w:lang w:val="fr-FR"/>
        </w:rPr>
        <w:t>’</w:t>
      </w:r>
      <w:r w:rsidR="00263A8E" w:rsidRPr="00130C7A">
        <w:rPr>
          <w:lang w:val="fr-FR"/>
        </w:rPr>
        <w:t>enquête</w:t>
      </w:r>
      <w:r w:rsidR="005307F7" w:rsidRPr="00130C7A">
        <w:rPr>
          <w:lang w:val="fr-FR"/>
        </w:rPr>
        <w:t xml:space="preserve"> </w:t>
      </w:r>
      <w:r w:rsidR="00E53F5B" w:rsidRPr="00130C7A">
        <w:rPr>
          <w:lang w:val="fr-FR"/>
        </w:rPr>
        <w:t>d</w:t>
      </w:r>
      <w:r w:rsidR="00130C7A" w:rsidRPr="00130C7A">
        <w:rPr>
          <w:lang w:val="fr-FR"/>
        </w:rPr>
        <w:t>’</w:t>
      </w:r>
      <w:r w:rsidR="00E53F5B" w:rsidRPr="00130C7A">
        <w:rPr>
          <w:lang w:val="fr-FR"/>
        </w:rPr>
        <w:t xml:space="preserve">ineffectivité </w:t>
      </w:r>
      <w:r w:rsidR="00DC0130" w:rsidRPr="00130C7A">
        <w:rPr>
          <w:lang w:val="fr-FR"/>
        </w:rPr>
        <w:t>(</w:t>
      </w:r>
      <w:r w:rsidR="00C7561C" w:rsidRPr="00130C7A">
        <w:rPr>
          <w:lang w:val="fr-FR"/>
        </w:rPr>
        <w:t xml:space="preserve">voir, </w:t>
      </w:r>
      <w:r w:rsidR="00DC0130" w:rsidRPr="00130C7A">
        <w:rPr>
          <w:i/>
          <w:lang w:val="fr-FR"/>
        </w:rPr>
        <w:t>a contrario</w:t>
      </w:r>
      <w:r w:rsidR="00DC0130" w:rsidRPr="00130C7A">
        <w:rPr>
          <w:lang w:val="fr-FR"/>
        </w:rPr>
        <w:t xml:space="preserve">, </w:t>
      </w:r>
      <w:proofErr w:type="spellStart"/>
      <w:r w:rsidR="00282C91" w:rsidRPr="00130C7A">
        <w:rPr>
          <w:i/>
          <w:lang w:val="fr-FR"/>
        </w:rPr>
        <w:t>Tanlı</w:t>
      </w:r>
      <w:proofErr w:type="spellEnd"/>
      <w:r w:rsidR="00282C91" w:rsidRPr="00130C7A">
        <w:rPr>
          <w:i/>
          <w:lang w:val="fr-FR"/>
        </w:rPr>
        <w:t xml:space="preserve"> c.</w:t>
      </w:r>
      <w:r w:rsidR="00AD619D" w:rsidRPr="00130C7A">
        <w:rPr>
          <w:i/>
          <w:lang w:val="fr-FR"/>
        </w:rPr>
        <w:t> </w:t>
      </w:r>
      <w:r w:rsidR="00282C91" w:rsidRPr="00130C7A">
        <w:rPr>
          <w:i/>
          <w:lang w:val="fr-FR"/>
        </w:rPr>
        <w:t>Turquie</w:t>
      </w:r>
      <w:r w:rsidR="00282C91" w:rsidRPr="00130C7A">
        <w:rPr>
          <w:lang w:val="fr-FR"/>
        </w:rPr>
        <w:t>, n</w:t>
      </w:r>
      <w:r w:rsidR="00282C91" w:rsidRPr="00130C7A">
        <w:rPr>
          <w:vertAlign w:val="superscript"/>
          <w:lang w:val="fr-FR"/>
        </w:rPr>
        <w:t>o</w:t>
      </w:r>
      <w:r w:rsidR="00C7561C" w:rsidRPr="00130C7A">
        <w:rPr>
          <w:lang w:val="fr-FR"/>
        </w:rPr>
        <w:t> </w:t>
      </w:r>
      <w:r w:rsidR="00282C91" w:rsidRPr="00130C7A">
        <w:rPr>
          <w:lang w:val="fr-FR"/>
        </w:rPr>
        <w:t>26129/95, §§ 150-153, CEDH 2001</w:t>
      </w:r>
      <w:r w:rsidR="00282C91" w:rsidRPr="00130C7A">
        <w:rPr>
          <w:lang w:val="fr-FR"/>
        </w:rPr>
        <w:noBreakHyphen/>
        <w:t xml:space="preserve">III (extraits)). En effet, celles-ci </w:t>
      </w:r>
      <w:r w:rsidR="008F4867" w:rsidRPr="00130C7A">
        <w:rPr>
          <w:lang w:val="fr-FR"/>
        </w:rPr>
        <w:t>ne sont pas le résultat de lacunes dans l</w:t>
      </w:r>
      <w:r w:rsidR="00130C7A" w:rsidRPr="00130C7A">
        <w:rPr>
          <w:lang w:val="fr-FR"/>
        </w:rPr>
        <w:t>’</w:t>
      </w:r>
      <w:r w:rsidR="008F4867" w:rsidRPr="00130C7A">
        <w:rPr>
          <w:lang w:val="fr-FR"/>
        </w:rPr>
        <w:t>organisation et l</w:t>
      </w:r>
      <w:r w:rsidR="00B935A9" w:rsidRPr="00130C7A">
        <w:rPr>
          <w:lang w:val="fr-FR"/>
        </w:rPr>
        <w:t>a réalisation</w:t>
      </w:r>
      <w:r w:rsidR="008F4867" w:rsidRPr="00130C7A">
        <w:rPr>
          <w:lang w:val="fr-FR"/>
        </w:rPr>
        <w:t xml:space="preserve"> de l</w:t>
      </w:r>
      <w:r w:rsidR="00130C7A" w:rsidRPr="00130C7A">
        <w:rPr>
          <w:lang w:val="fr-FR"/>
        </w:rPr>
        <w:t>’</w:t>
      </w:r>
      <w:r w:rsidR="008F4867" w:rsidRPr="00130C7A">
        <w:rPr>
          <w:lang w:val="fr-FR"/>
        </w:rPr>
        <w:t xml:space="preserve">autopsie </w:t>
      </w:r>
      <w:r w:rsidR="00DF184C" w:rsidRPr="00130C7A">
        <w:rPr>
          <w:lang w:val="fr-FR"/>
        </w:rPr>
        <w:t>et</w:t>
      </w:r>
      <w:r w:rsidR="008F4867" w:rsidRPr="00130C7A">
        <w:rPr>
          <w:lang w:val="fr-FR"/>
        </w:rPr>
        <w:t xml:space="preserve"> </w:t>
      </w:r>
      <w:r w:rsidR="00282C91" w:rsidRPr="00130C7A">
        <w:rPr>
          <w:lang w:val="fr-FR"/>
        </w:rPr>
        <w:t>n</w:t>
      </w:r>
      <w:r w:rsidR="00130C7A" w:rsidRPr="00130C7A">
        <w:rPr>
          <w:lang w:val="fr-FR"/>
        </w:rPr>
        <w:t>’</w:t>
      </w:r>
      <w:r w:rsidR="00C7561C" w:rsidRPr="00130C7A">
        <w:rPr>
          <w:lang w:val="fr-FR"/>
        </w:rPr>
        <w:t xml:space="preserve">ont pas </w:t>
      </w:r>
      <w:r w:rsidR="00282C91" w:rsidRPr="00130C7A">
        <w:rPr>
          <w:lang w:val="fr-FR"/>
        </w:rPr>
        <w:t>empêch</w:t>
      </w:r>
      <w:r w:rsidR="00C7561C" w:rsidRPr="00130C7A">
        <w:rPr>
          <w:lang w:val="fr-FR"/>
        </w:rPr>
        <w:t>é</w:t>
      </w:r>
      <w:r w:rsidR="00282C91" w:rsidRPr="00130C7A">
        <w:rPr>
          <w:lang w:val="fr-FR"/>
        </w:rPr>
        <w:t xml:space="preserve"> </w:t>
      </w:r>
      <w:r w:rsidR="002B7E08" w:rsidRPr="00130C7A">
        <w:rPr>
          <w:lang w:val="fr-FR"/>
        </w:rPr>
        <w:t xml:space="preserve">une analyse méticuleuse, objective et impartiale de tous les éléments pertinents </w:t>
      </w:r>
      <w:r w:rsidR="00DF184C" w:rsidRPr="00130C7A">
        <w:rPr>
          <w:lang w:val="fr-FR"/>
        </w:rPr>
        <w:t>ainsi que</w:t>
      </w:r>
      <w:r w:rsidR="002B7E08" w:rsidRPr="00130C7A">
        <w:rPr>
          <w:lang w:val="fr-FR"/>
        </w:rPr>
        <w:t xml:space="preserve"> la prise en compte de toutes les pistes d</w:t>
      </w:r>
      <w:r w:rsidR="00130C7A" w:rsidRPr="00130C7A">
        <w:rPr>
          <w:lang w:val="fr-FR"/>
        </w:rPr>
        <w:t>’</w:t>
      </w:r>
      <w:r w:rsidR="00CE74D5" w:rsidRPr="00130C7A">
        <w:rPr>
          <w:lang w:val="fr-FR"/>
        </w:rPr>
        <w:t xml:space="preserve">investigation </w:t>
      </w:r>
      <w:r w:rsidR="000A4664" w:rsidRPr="00130C7A">
        <w:rPr>
          <w:lang w:val="fr-FR"/>
        </w:rPr>
        <w:t>envisageables</w:t>
      </w:r>
      <w:r w:rsidR="00CE74D5" w:rsidRPr="00130C7A">
        <w:rPr>
          <w:lang w:val="fr-FR"/>
        </w:rPr>
        <w:t xml:space="preserve">. </w:t>
      </w:r>
      <w:r w:rsidR="00667B35" w:rsidRPr="00130C7A">
        <w:rPr>
          <w:lang w:val="fr-FR"/>
        </w:rPr>
        <w:t>Par ailleurs, le requérant n</w:t>
      </w:r>
      <w:r w:rsidR="00130C7A" w:rsidRPr="00130C7A">
        <w:rPr>
          <w:lang w:val="fr-FR"/>
        </w:rPr>
        <w:t>’</w:t>
      </w:r>
      <w:r w:rsidR="00667B35" w:rsidRPr="00130C7A">
        <w:rPr>
          <w:lang w:val="fr-FR"/>
        </w:rPr>
        <w:t>indique pas de lacunes manifestes dans l</w:t>
      </w:r>
      <w:r w:rsidR="00130C7A" w:rsidRPr="00130C7A">
        <w:rPr>
          <w:lang w:val="fr-FR"/>
        </w:rPr>
        <w:t>’</w:t>
      </w:r>
      <w:r w:rsidR="00667B35" w:rsidRPr="00130C7A">
        <w:rPr>
          <w:lang w:val="fr-FR"/>
        </w:rPr>
        <w:t xml:space="preserve">enquête ni ne semble considérer que les autorités de poursuite </w:t>
      </w:r>
      <w:r w:rsidR="00C7561C" w:rsidRPr="00130C7A">
        <w:rPr>
          <w:lang w:val="fr-FR"/>
        </w:rPr>
        <w:t>o</w:t>
      </w:r>
      <w:r w:rsidR="00667B35" w:rsidRPr="00130C7A">
        <w:rPr>
          <w:lang w:val="fr-FR"/>
        </w:rPr>
        <w:t>nt négligé des éléments essentiels de l</w:t>
      </w:r>
      <w:r w:rsidR="00130C7A" w:rsidRPr="00130C7A">
        <w:rPr>
          <w:lang w:val="fr-FR"/>
        </w:rPr>
        <w:t>’</w:t>
      </w:r>
      <w:r w:rsidR="00667B35" w:rsidRPr="00130C7A">
        <w:rPr>
          <w:lang w:val="fr-FR"/>
        </w:rPr>
        <w:t>affaire.</w:t>
      </w:r>
    </w:p>
    <w:p w:rsidR="001E0028" w:rsidRPr="00130C7A" w:rsidRDefault="004A0DD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98</w:t>
      </w:r>
      <w:r w:rsidRPr="00130C7A">
        <w:rPr>
          <w:lang w:val="fr-FR"/>
        </w:rPr>
        <w:fldChar w:fldCharType="end"/>
      </w:r>
      <w:r w:rsidRPr="00130C7A">
        <w:rPr>
          <w:lang w:val="fr-FR"/>
        </w:rPr>
        <w:t>.  </w:t>
      </w:r>
      <w:r w:rsidR="00623718" w:rsidRPr="00130C7A">
        <w:rPr>
          <w:lang w:val="fr-FR"/>
        </w:rPr>
        <w:t>De plus, la C</w:t>
      </w:r>
      <w:r w:rsidR="005307F7" w:rsidRPr="00130C7A">
        <w:rPr>
          <w:lang w:val="fr-FR"/>
        </w:rPr>
        <w:t xml:space="preserve">our ne perd pas de vue que </w:t>
      </w:r>
      <w:r w:rsidR="0031455F" w:rsidRPr="00130C7A">
        <w:rPr>
          <w:lang w:val="fr-FR"/>
        </w:rPr>
        <w:t xml:space="preserve">ladite </w:t>
      </w:r>
      <w:r w:rsidR="00AA61B0" w:rsidRPr="00130C7A">
        <w:rPr>
          <w:lang w:val="fr-FR"/>
        </w:rPr>
        <w:t>autopsie</w:t>
      </w:r>
      <w:r w:rsidR="005307F7" w:rsidRPr="00130C7A">
        <w:rPr>
          <w:lang w:val="fr-FR"/>
        </w:rPr>
        <w:t xml:space="preserve"> s</w:t>
      </w:r>
      <w:r w:rsidR="00130C7A" w:rsidRPr="00130C7A">
        <w:rPr>
          <w:lang w:val="fr-FR"/>
        </w:rPr>
        <w:t>’</w:t>
      </w:r>
      <w:r w:rsidR="00C7561C" w:rsidRPr="00130C7A">
        <w:rPr>
          <w:lang w:val="fr-FR"/>
        </w:rPr>
        <w:t>est</w:t>
      </w:r>
      <w:r w:rsidR="005307F7" w:rsidRPr="00130C7A">
        <w:rPr>
          <w:lang w:val="fr-FR"/>
        </w:rPr>
        <w:t xml:space="preserve"> </w:t>
      </w:r>
      <w:r w:rsidR="00A358C7" w:rsidRPr="00130C7A">
        <w:rPr>
          <w:lang w:val="fr-FR"/>
        </w:rPr>
        <w:t>déroul</w:t>
      </w:r>
      <w:r w:rsidR="00C7561C" w:rsidRPr="00130C7A">
        <w:rPr>
          <w:lang w:val="fr-FR"/>
        </w:rPr>
        <w:t>ée</w:t>
      </w:r>
      <w:r w:rsidR="005307F7" w:rsidRPr="00130C7A">
        <w:rPr>
          <w:lang w:val="fr-FR"/>
        </w:rPr>
        <w:t xml:space="preserve"> </w:t>
      </w:r>
      <w:r w:rsidR="005A6A1B" w:rsidRPr="00130C7A">
        <w:rPr>
          <w:lang w:val="fr-FR"/>
        </w:rPr>
        <w:t>en</w:t>
      </w:r>
      <w:r w:rsidR="005307F7" w:rsidRPr="00130C7A">
        <w:rPr>
          <w:lang w:val="fr-FR"/>
        </w:rPr>
        <w:t xml:space="preserve"> la présence d</w:t>
      </w:r>
      <w:r w:rsidR="00130C7A" w:rsidRPr="00130C7A">
        <w:rPr>
          <w:lang w:val="fr-FR"/>
        </w:rPr>
        <w:t>’</w:t>
      </w:r>
      <w:r w:rsidR="005307F7" w:rsidRPr="00130C7A">
        <w:rPr>
          <w:lang w:val="fr-FR"/>
        </w:rPr>
        <w:t xml:space="preserve">un expert </w:t>
      </w:r>
      <w:r w:rsidR="005A6A1B" w:rsidRPr="00130C7A">
        <w:rPr>
          <w:lang w:val="fr-FR"/>
        </w:rPr>
        <w:t xml:space="preserve">choisi </w:t>
      </w:r>
      <w:r w:rsidR="005307F7" w:rsidRPr="00130C7A">
        <w:rPr>
          <w:lang w:val="fr-FR"/>
        </w:rPr>
        <w:t>par le requérant, lequel n</w:t>
      </w:r>
      <w:r w:rsidR="00130C7A" w:rsidRPr="00130C7A">
        <w:rPr>
          <w:lang w:val="fr-FR"/>
        </w:rPr>
        <w:t>’</w:t>
      </w:r>
      <w:r w:rsidR="00C7561C" w:rsidRPr="00130C7A">
        <w:rPr>
          <w:lang w:val="fr-FR"/>
        </w:rPr>
        <w:t>a</w:t>
      </w:r>
      <w:r w:rsidR="005307F7" w:rsidRPr="00130C7A">
        <w:rPr>
          <w:lang w:val="fr-FR"/>
        </w:rPr>
        <w:t xml:space="preserve"> </w:t>
      </w:r>
      <w:r w:rsidR="00C7561C" w:rsidRPr="00130C7A">
        <w:rPr>
          <w:lang w:val="fr-FR"/>
        </w:rPr>
        <w:t>contesté les</w:t>
      </w:r>
      <w:r w:rsidR="00E53F5B" w:rsidRPr="00130C7A">
        <w:rPr>
          <w:lang w:val="fr-FR"/>
        </w:rPr>
        <w:t xml:space="preserve"> conclusions des </w:t>
      </w:r>
      <w:r w:rsidR="005307F7" w:rsidRPr="00130C7A">
        <w:rPr>
          <w:lang w:val="fr-FR"/>
        </w:rPr>
        <w:t>experts désignés par le parquet</w:t>
      </w:r>
      <w:r w:rsidR="00623718" w:rsidRPr="00130C7A">
        <w:rPr>
          <w:lang w:val="fr-FR"/>
        </w:rPr>
        <w:t xml:space="preserve"> </w:t>
      </w:r>
      <w:r w:rsidR="00F122D0" w:rsidRPr="00130C7A">
        <w:rPr>
          <w:lang w:val="fr-FR"/>
        </w:rPr>
        <w:t xml:space="preserve">à aucun moment </w:t>
      </w:r>
      <w:r w:rsidR="00623718" w:rsidRPr="00130C7A">
        <w:rPr>
          <w:lang w:val="fr-FR"/>
        </w:rPr>
        <w:t>et</w:t>
      </w:r>
      <w:r w:rsidR="00AA61B0" w:rsidRPr="00130C7A">
        <w:rPr>
          <w:lang w:val="fr-FR"/>
        </w:rPr>
        <w:t xml:space="preserve"> </w:t>
      </w:r>
      <w:r w:rsidR="00F122D0" w:rsidRPr="00130C7A">
        <w:rPr>
          <w:lang w:val="fr-FR"/>
        </w:rPr>
        <w:t xml:space="preserve">a </w:t>
      </w:r>
      <w:r w:rsidR="00E53F5B" w:rsidRPr="00130C7A">
        <w:rPr>
          <w:lang w:val="fr-FR"/>
        </w:rPr>
        <w:t>sout</w:t>
      </w:r>
      <w:r w:rsidR="00F122D0" w:rsidRPr="00130C7A">
        <w:rPr>
          <w:lang w:val="fr-FR"/>
        </w:rPr>
        <w:t>enu</w:t>
      </w:r>
      <w:r w:rsidR="00E25896" w:rsidRPr="00130C7A">
        <w:rPr>
          <w:lang w:val="fr-FR"/>
        </w:rPr>
        <w:t xml:space="preserve"> </w:t>
      </w:r>
      <w:r w:rsidR="00AA61B0" w:rsidRPr="00130C7A">
        <w:rPr>
          <w:lang w:val="fr-FR"/>
        </w:rPr>
        <w:t>à son tour</w:t>
      </w:r>
      <w:r w:rsidR="00667B35" w:rsidRPr="00130C7A">
        <w:rPr>
          <w:lang w:val="fr-FR"/>
        </w:rPr>
        <w:t>,</w:t>
      </w:r>
      <w:r w:rsidR="00AA61B0" w:rsidRPr="00130C7A">
        <w:rPr>
          <w:lang w:val="fr-FR"/>
        </w:rPr>
        <w:t xml:space="preserve"> </w:t>
      </w:r>
      <w:r w:rsidR="00282C91" w:rsidRPr="00130C7A">
        <w:rPr>
          <w:lang w:val="fr-FR"/>
        </w:rPr>
        <w:t>pendant la première phase de l</w:t>
      </w:r>
      <w:r w:rsidR="00130C7A" w:rsidRPr="00130C7A">
        <w:rPr>
          <w:lang w:val="fr-FR"/>
        </w:rPr>
        <w:t>’</w:t>
      </w:r>
      <w:r w:rsidR="00282C91" w:rsidRPr="00130C7A">
        <w:rPr>
          <w:lang w:val="fr-FR"/>
        </w:rPr>
        <w:t>enquête</w:t>
      </w:r>
      <w:r w:rsidR="00667B35" w:rsidRPr="00130C7A">
        <w:rPr>
          <w:lang w:val="fr-FR"/>
        </w:rPr>
        <w:t>,</w:t>
      </w:r>
      <w:r w:rsidR="00282C91" w:rsidRPr="00130C7A">
        <w:rPr>
          <w:lang w:val="fr-FR"/>
        </w:rPr>
        <w:t xml:space="preserve"> </w:t>
      </w:r>
      <w:r w:rsidR="0031455F" w:rsidRPr="00130C7A">
        <w:rPr>
          <w:lang w:val="fr-FR"/>
        </w:rPr>
        <w:t xml:space="preserve">la thèse du décès causé par </w:t>
      </w:r>
      <w:r w:rsidR="00A20CB6" w:rsidRPr="00130C7A">
        <w:rPr>
          <w:lang w:val="fr-FR"/>
        </w:rPr>
        <w:t>l</w:t>
      </w:r>
      <w:r w:rsidR="00130C7A" w:rsidRPr="00130C7A">
        <w:rPr>
          <w:lang w:val="fr-FR"/>
        </w:rPr>
        <w:t>’</w:t>
      </w:r>
      <w:r w:rsidR="00A20CB6" w:rsidRPr="00130C7A">
        <w:rPr>
          <w:lang w:val="fr-FR"/>
        </w:rPr>
        <w:t>action de tier</w:t>
      </w:r>
      <w:r w:rsidR="00667B35" w:rsidRPr="00130C7A">
        <w:rPr>
          <w:lang w:val="fr-FR"/>
        </w:rPr>
        <w:t xml:space="preserve">s </w:t>
      </w:r>
      <w:r w:rsidR="00282C91" w:rsidRPr="00130C7A">
        <w:rPr>
          <w:lang w:val="fr-FR"/>
        </w:rPr>
        <w:t>en s</w:t>
      </w:r>
      <w:r w:rsidR="00130C7A" w:rsidRPr="00130C7A">
        <w:rPr>
          <w:lang w:val="fr-FR"/>
        </w:rPr>
        <w:t>’</w:t>
      </w:r>
      <w:r w:rsidR="00282C91" w:rsidRPr="00130C7A">
        <w:rPr>
          <w:lang w:val="fr-FR"/>
        </w:rPr>
        <w:t>appuyant sur ces mêmes conclusions</w:t>
      </w:r>
      <w:r w:rsidR="00E53F5B" w:rsidRPr="00130C7A">
        <w:rPr>
          <w:lang w:val="fr-FR"/>
        </w:rPr>
        <w:t xml:space="preserve"> </w:t>
      </w:r>
      <w:r w:rsidR="003859FC" w:rsidRPr="00130C7A">
        <w:rPr>
          <w:lang w:val="fr-FR"/>
        </w:rPr>
        <w:t>(paragraphe 15</w:t>
      </w:r>
      <w:r w:rsidR="00E53F5B" w:rsidRPr="00130C7A">
        <w:rPr>
          <w:lang w:val="fr-FR"/>
        </w:rPr>
        <w:t xml:space="preserve"> ci-dessus).</w:t>
      </w:r>
    </w:p>
    <w:p w:rsidR="002425C6" w:rsidRPr="00130C7A" w:rsidRDefault="004A0DD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99</w:t>
      </w:r>
      <w:r w:rsidRPr="00130C7A">
        <w:rPr>
          <w:lang w:val="fr-FR"/>
        </w:rPr>
        <w:fldChar w:fldCharType="end"/>
      </w:r>
      <w:r w:rsidRPr="00130C7A">
        <w:rPr>
          <w:lang w:val="fr-FR"/>
        </w:rPr>
        <w:t>.  </w:t>
      </w:r>
      <w:r w:rsidR="005F6279" w:rsidRPr="00130C7A">
        <w:rPr>
          <w:lang w:val="fr-FR"/>
        </w:rPr>
        <w:t>Concernant la célérité de l</w:t>
      </w:r>
      <w:r w:rsidR="00130C7A" w:rsidRPr="00130C7A">
        <w:rPr>
          <w:lang w:val="fr-FR"/>
        </w:rPr>
        <w:t>’</w:t>
      </w:r>
      <w:r w:rsidR="005F6279" w:rsidRPr="00130C7A">
        <w:rPr>
          <w:lang w:val="fr-FR"/>
        </w:rPr>
        <w:t xml:space="preserve">enquête, </w:t>
      </w:r>
      <w:r w:rsidR="00603346" w:rsidRPr="00130C7A">
        <w:rPr>
          <w:lang w:val="fr-FR"/>
        </w:rPr>
        <w:t xml:space="preserve">la </w:t>
      </w:r>
      <w:r w:rsidR="000E32ED" w:rsidRPr="00130C7A">
        <w:rPr>
          <w:lang w:val="fr-FR"/>
        </w:rPr>
        <w:t xml:space="preserve">Cour </w:t>
      </w:r>
      <w:r w:rsidR="002D1D09" w:rsidRPr="00130C7A">
        <w:rPr>
          <w:lang w:val="fr-FR"/>
        </w:rPr>
        <w:t>constate</w:t>
      </w:r>
      <w:r w:rsidR="000E32ED" w:rsidRPr="00130C7A">
        <w:rPr>
          <w:lang w:val="fr-FR"/>
        </w:rPr>
        <w:t xml:space="preserve"> </w:t>
      </w:r>
      <w:r w:rsidR="002470AB" w:rsidRPr="00130C7A">
        <w:rPr>
          <w:lang w:val="fr-FR"/>
        </w:rPr>
        <w:t>que celle-ci</w:t>
      </w:r>
      <w:r w:rsidR="00F122D0" w:rsidRPr="00130C7A">
        <w:rPr>
          <w:lang w:val="fr-FR"/>
        </w:rPr>
        <w:t xml:space="preserve"> </w:t>
      </w:r>
      <w:r w:rsidR="000E32ED" w:rsidRPr="00130C7A">
        <w:rPr>
          <w:lang w:val="fr-FR"/>
        </w:rPr>
        <w:t>a duré sept ans et sept mois</w:t>
      </w:r>
      <w:r w:rsidR="00A55440" w:rsidRPr="00130C7A">
        <w:rPr>
          <w:lang w:val="fr-FR"/>
        </w:rPr>
        <w:t xml:space="preserve"> environ</w:t>
      </w:r>
      <w:r w:rsidR="00282C55" w:rsidRPr="00130C7A">
        <w:rPr>
          <w:lang w:val="fr-FR"/>
        </w:rPr>
        <w:t>.</w:t>
      </w:r>
      <w:r w:rsidR="00775C5B" w:rsidRPr="00130C7A">
        <w:rPr>
          <w:lang w:val="fr-FR"/>
        </w:rPr>
        <w:t xml:space="preserve"> </w:t>
      </w:r>
      <w:r w:rsidR="002D1D09" w:rsidRPr="00130C7A">
        <w:rPr>
          <w:lang w:val="fr-FR"/>
        </w:rPr>
        <w:t>Elle observe ensuite avec le requérant qu</w:t>
      </w:r>
      <w:r w:rsidR="00C749E3" w:rsidRPr="00130C7A">
        <w:rPr>
          <w:lang w:val="fr-FR"/>
        </w:rPr>
        <w:t>e l</w:t>
      </w:r>
      <w:r w:rsidR="00130C7A" w:rsidRPr="00130C7A">
        <w:rPr>
          <w:lang w:val="fr-FR"/>
        </w:rPr>
        <w:t>’</w:t>
      </w:r>
      <w:r w:rsidR="00C749E3" w:rsidRPr="00130C7A">
        <w:rPr>
          <w:lang w:val="fr-FR"/>
        </w:rPr>
        <w:t>enquête</w:t>
      </w:r>
      <w:r w:rsidR="00595025" w:rsidRPr="00130C7A">
        <w:rPr>
          <w:lang w:val="fr-FR"/>
        </w:rPr>
        <w:t xml:space="preserve"> a notamment connu un ralentissement significatif dans sa dernière phase, </w:t>
      </w:r>
      <w:r w:rsidR="00F122D0" w:rsidRPr="00130C7A">
        <w:rPr>
          <w:lang w:val="fr-FR"/>
        </w:rPr>
        <w:t>à savoir</w:t>
      </w:r>
      <w:r w:rsidR="00595025" w:rsidRPr="00130C7A">
        <w:rPr>
          <w:lang w:val="fr-FR"/>
        </w:rPr>
        <w:t xml:space="preserve"> </w:t>
      </w:r>
      <w:r w:rsidRPr="00130C7A">
        <w:rPr>
          <w:lang w:val="fr-FR"/>
        </w:rPr>
        <w:t>entre</w:t>
      </w:r>
      <w:r w:rsidR="00603346" w:rsidRPr="00130C7A">
        <w:rPr>
          <w:lang w:val="fr-FR"/>
        </w:rPr>
        <w:t xml:space="preserve"> la décision du</w:t>
      </w:r>
      <w:r w:rsidR="009326D4" w:rsidRPr="00130C7A">
        <w:rPr>
          <w:lang w:val="fr-FR"/>
        </w:rPr>
        <w:t xml:space="preserve"> juge des investigations préliminaires </w:t>
      </w:r>
      <w:r w:rsidR="00603346" w:rsidRPr="00130C7A">
        <w:rPr>
          <w:lang w:val="fr-FR"/>
        </w:rPr>
        <w:t>ordonnant la poursuite des investigations</w:t>
      </w:r>
      <w:r w:rsidR="00F122D0" w:rsidRPr="00130C7A">
        <w:rPr>
          <w:lang w:val="fr-FR"/>
        </w:rPr>
        <w:t>, en date du 1</w:t>
      </w:r>
      <w:r w:rsidR="00F122D0" w:rsidRPr="00130C7A">
        <w:rPr>
          <w:vertAlign w:val="superscript"/>
          <w:lang w:val="fr-FR"/>
        </w:rPr>
        <w:t>er</w:t>
      </w:r>
      <w:r w:rsidR="00F122D0" w:rsidRPr="00130C7A">
        <w:rPr>
          <w:lang w:val="fr-FR"/>
        </w:rPr>
        <w:t> octobre 2009,</w:t>
      </w:r>
      <w:r w:rsidR="00603346" w:rsidRPr="00130C7A">
        <w:rPr>
          <w:lang w:val="fr-FR"/>
        </w:rPr>
        <w:t xml:space="preserve"> et</w:t>
      </w:r>
      <w:r w:rsidR="00390AB4" w:rsidRPr="00130C7A">
        <w:rPr>
          <w:lang w:val="fr-FR"/>
        </w:rPr>
        <w:t xml:space="preserve"> la deuxième demande de classement des poursuites</w:t>
      </w:r>
      <w:r w:rsidRPr="00130C7A">
        <w:rPr>
          <w:lang w:val="fr-FR"/>
        </w:rPr>
        <w:t xml:space="preserve">, </w:t>
      </w:r>
      <w:r w:rsidR="00F122D0" w:rsidRPr="00130C7A">
        <w:rPr>
          <w:lang w:val="fr-FR"/>
        </w:rPr>
        <w:t>formulée le</w:t>
      </w:r>
      <w:r w:rsidRPr="00130C7A">
        <w:rPr>
          <w:lang w:val="fr-FR"/>
        </w:rPr>
        <w:t xml:space="preserve"> </w:t>
      </w:r>
      <w:r w:rsidR="00F122D0" w:rsidRPr="00130C7A">
        <w:rPr>
          <w:lang w:val="fr-FR"/>
        </w:rPr>
        <w:t>25 juillet</w:t>
      </w:r>
      <w:r w:rsidRPr="00130C7A">
        <w:rPr>
          <w:lang w:val="fr-FR"/>
        </w:rPr>
        <w:t xml:space="preserve"> 2012</w:t>
      </w:r>
      <w:r w:rsidR="002D1D09" w:rsidRPr="00130C7A">
        <w:rPr>
          <w:lang w:val="fr-FR"/>
        </w:rPr>
        <w:t xml:space="preserve">, bien que des actes </w:t>
      </w:r>
      <w:r w:rsidR="00C749E3" w:rsidRPr="00130C7A">
        <w:rPr>
          <w:lang w:val="fr-FR"/>
        </w:rPr>
        <w:t xml:space="preserve">de procédure </w:t>
      </w:r>
      <w:r w:rsidR="002D1D09" w:rsidRPr="00130C7A">
        <w:rPr>
          <w:lang w:val="fr-FR"/>
        </w:rPr>
        <w:t xml:space="preserve">aient été accomplis </w:t>
      </w:r>
      <w:r w:rsidR="00305242" w:rsidRPr="00130C7A">
        <w:rPr>
          <w:lang w:val="fr-FR"/>
        </w:rPr>
        <w:t xml:space="preserve">pendant cette période </w:t>
      </w:r>
      <w:r w:rsidR="00C749E3" w:rsidRPr="00130C7A">
        <w:rPr>
          <w:lang w:val="fr-FR"/>
        </w:rPr>
        <w:t>par l</w:t>
      </w:r>
      <w:r w:rsidR="00130C7A" w:rsidRPr="00130C7A">
        <w:rPr>
          <w:lang w:val="fr-FR"/>
        </w:rPr>
        <w:t>’</w:t>
      </w:r>
      <w:r w:rsidR="00C749E3" w:rsidRPr="00130C7A">
        <w:rPr>
          <w:lang w:val="fr-FR"/>
        </w:rPr>
        <w:t>autorité d</w:t>
      </w:r>
      <w:r w:rsidR="00130C7A" w:rsidRPr="00130C7A">
        <w:rPr>
          <w:lang w:val="fr-FR"/>
        </w:rPr>
        <w:t>’</w:t>
      </w:r>
      <w:r w:rsidR="00C749E3" w:rsidRPr="00130C7A">
        <w:rPr>
          <w:lang w:val="fr-FR"/>
        </w:rPr>
        <w:t xml:space="preserve">enquête </w:t>
      </w:r>
      <w:r w:rsidR="002D1D09" w:rsidRPr="00130C7A">
        <w:rPr>
          <w:lang w:val="fr-FR"/>
        </w:rPr>
        <w:t xml:space="preserve">(voir </w:t>
      </w:r>
      <w:r w:rsidR="003938CF" w:rsidRPr="00130C7A">
        <w:rPr>
          <w:lang w:val="fr-FR"/>
        </w:rPr>
        <w:t>paragraphes </w:t>
      </w:r>
      <w:r w:rsidR="004F1067" w:rsidRPr="00130C7A">
        <w:rPr>
          <w:lang w:val="fr-FR"/>
        </w:rPr>
        <w:t>24 et 25 ci-dessus).</w:t>
      </w:r>
    </w:p>
    <w:p w:rsidR="001E0028" w:rsidRPr="00130C7A" w:rsidRDefault="004A0DD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100</w:t>
      </w:r>
      <w:r w:rsidRPr="00130C7A">
        <w:rPr>
          <w:lang w:val="fr-FR"/>
        </w:rPr>
        <w:fldChar w:fldCharType="end"/>
      </w:r>
      <w:r w:rsidRPr="00130C7A">
        <w:rPr>
          <w:lang w:val="fr-FR"/>
        </w:rPr>
        <w:t>. </w:t>
      </w:r>
      <w:r w:rsidR="00C749E3" w:rsidRPr="00130C7A">
        <w:rPr>
          <w:lang w:val="fr-FR"/>
        </w:rPr>
        <w:t>Quoi qu</w:t>
      </w:r>
      <w:r w:rsidR="00130C7A" w:rsidRPr="00130C7A">
        <w:rPr>
          <w:lang w:val="fr-FR"/>
        </w:rPr>
        <w:t>’</w:t>
      </w:r>
      <w:r w:rsidR="00C749E3" w:rsidRPr="00130C7A">
        <w:rPr>
          <w:lang w:val="fr-FR"/>
        </w:rPr>
        <w:t>il en soit</w:t>
      </w:r>
      <w:r w:rsidR="00390AB4" w:rsidRPr="00130C7A">
        <w:rPr>
          <w:lang w:val="fr-FR"/>
        </w:rPr>
        <w:t xml:space="preserve">, </w:t>
      </w:r>
      <w:r w:rsidR="0070779A" w:rsidRPr="00130C7A">
        <w:rPr>
          <w:lang w:val="fr-FR"/>
        </w:rPr>
        <w:t>eu égard au volume des éléments de preuve recueillis au cours des investigations ainsi qu</w:t>
      </w:r>
      <w:r w:rsidR="00130C7A" w:rsidRPr="00130C7A">
        <w:rPr>
          <w:lang w:val="fr-FR"/>
        </w:rPr>
        <w:t>’</w:t>
      </w:r>
      <w:r w:rsidR="009743BB" w:rsidRPr="00130C7A">
        <w:rPr>
          <w:lang w:val="fr-FR"/>
        </w:rPr>
        <w:t>à l</w:t>
      </w:r>
      <w:r w:rsidR="00130C7A" w:rsidRPr="00130C7A">
        <w:rPr>
          <w:lang w:val="fr-FR"/>
        </w:rPr>
        <w:t>’</w:t>
      </w:r>
      <w:r w:rsidR="0070779A" w:rsidRPr="00130C7A">
        <w:rPr>
          <w:lang w:val="fr-FR"/>
        </w:rPr>
        <w:t>activité du parquet et de l</w:t>
      </w:r>
      <w:r w:rsidR="00130C7A" w:rsidRPr="00130C7A">
        <w:rPr>
          <w:lang w:val="fr-FR"/>
        </w:rPr>
        <w:t>’</w:t>
      </w:r>
      <w:r w:rsidR="0070779A" w:rsidRPr="00130C7A">
        <w:rPr>
          <w:lang w:val="fr-FR"/>
        </w:rPr>
        <w:t xml:space="preserve">administration pénitentiaire, </w:t>
      </w:r>
      <w:r w:rsidR="00390AB4" w:rsidRPr="00130C7A">
        <w:rPr>
          <w:lang w:val="fr-FR"/>
        </w:rPr>
        <w:t>la Cour estime que ledit ralentissement ne suffit pas à mettre en cause l</w:t>
      </w:r>
      <w:r w:rsidR="00130C7A" w:rsidRPr="00130C7A">
        <w:rPr>
          <w:lang w:val="fr-FR"/>
        </w:rPr>
        <w:t>’</w:t>
      </w:r>
      <w:r w:rsidR="00390AB4" w:rsidRPr="00130C7A">
        <w:rPr>
          <w:lang w:val="fr-FR"/>
        </w:rPr>
        <w:t>effectivité de l</w:t>
      </w:r>
      <w:r w:rsidR="00130C7A" w:rsidRPr="00130C7A">
        <w:rPr>
          <w:lang w:val="fr-FR"/>
        </w:rPr>
        <w:t>’</w:t>
      </w:r>
      <w:r w:rsidR="00390AB4" w:rsidRPr="00130C7A">
        <w:rPr>
          <w:lang w:val="fr-FR"/>
        </w:rPr>
        <w:t>enquête dans son ensemble</w:t>
      </w:r>
      <w:r w:rsidR="002B4287" w:rsidRPr="00130C7A">
        <w:rPr>
          <w:lang w:val="fr-FR"/>
        </w:rPr>
        <w:t xml:space="preserve"> (</w:t>
      </w:r>
      <w:r w:rsidR="002B4287" w:rsidRPr="00130C7A">
        <w:rPr>
          <w:i/>
          <w:lang w:val="fr-FR"/>
        </w:rPr>
        <w:t>a contrario</w:t>
      </w:r>
      <w:r w:rsidR="002B4287" w:rsidRPr="00130C7A">
        <w:rPr>
          <w:lang w:val="fr-FR"/>
        </w:rPr>
        <w:t>, parmi d</w:t>
      </w:r>
      <w:r w:rsidR="00130C7A" w:rsidRPr="00130C7A">
        <w:rPr>
          <w:lang w:val="fr-FR"/>
        </w:rPr>
        <w:t>’</w:t>
      </w:r>
      <w:r w:rsidR="002B4287" w:rsidRPr="00130C7A">
        <w:rPr>
          <w:lang w:val="fr-FR"/>
        </w:rPr>
        <w:t xml:space="preserve">autres, </w:t>
      </w:r>
      <w:r w:rsidR="002B4287" w:rsidRPr="00130C7A">
        <w:rPr>
          <w:i/>
          <w:lang w:val="fr-FR"/>
        </w:rPr>
        <w:t>Fernandes de Oliveira</w:t>
      </w:r>
      <w:r w:rsidR="002B4287" w:rsidRPr="00130C7A">
        <w:rPr>
          <w:lang w:val="fr-FR"/>
        </w:rPr>
        <w:t>, précité, § 139)</w:t>
      </w:r>
      <w:r w:rsidR="0070779A" w:rsidRPr="00130C7A">
        <w:rPr>
          <w:lang w:val="fr-FR"/>
        </w:rPr>
        <w:t>.</w:t>
      </w:r>
    </w:p>
    <w:p w:rsidR="00FF21E2" w:rsidRPr="00130C7A" w:rsidRDefault="004A0DD9" w:rsidP="00130C7A">
      <w:pPr>
        <w:pStyle w:val="ECHRPara"/>
        <w:keepNext/>
        <w:keepLines/>
        <w:rPr>
          <w:lang w:val="fr-FR"/>
        </w:rPr>
      </w:pPr>
      <w:r w:rsidRPr="00130C7A">
        <w:rPr>
          <w:lang w:val="fr-FR"/>
        </w:rPr>
        <w:lastRenderedPageBreak/>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101</w:t>
      </w:r>
      <w:r w:rsidRPr="00130C7A">
        <w:rPr>
          <w:lang w:val="fr-FR"/>
        </w:rPr>
        <w:fldChar w:fldCharType="end"/>
      </w:r>
      <w:r w:rsidRPr="00130C7A">
        <w:rPr>
          <w:lang w:val="fr-FR"/>
        </w:rPr>
        <w:t>.  </w:t>
      </w:r>
      <w:bookmarkStart w:id="1" w:name="_GoBack"/>
      <w:r w:rsidR="002B2E59" w:rsidRPr="00130C7A">
        <w:rPr>
          <w:lang w:val="fr-FR"/>
        </w:rPr>
        <w:t>Quand</w:t>
      </w:r>
      <w:r w:rsidR="00F122D0" w:rsidRPr="00130C7A">
        <w:rPr>
          <w:lang w:val="fr-FR"/>
        </w:rPr>
        <w:t>,</w:t>
      </w:r>
      <w:r w:rsidR="00667B35" w:rsidRPr="00130C7A">
        <w:rPr>
          <w:lang w:val="fr-FR"/>
        </w:rPr>
        <w:t xml:space="preserve"> </w:t>
      </w:r>
      <w:r w:rsidR="003509D5" w:rsidRPr="00130C7A">
        <w:rPr>
          <w:lang w:val="fr-FR"/>
        </w:rPr>
        <w:t>en particulier</w:t>
      </w:r>
      <w:r w:rsidR="00F122D0" w:rsidRPr="00130C7A">
        <w:rPr>
          <w:lang w:val="fr-FR"/>
        </w:rPr>
        <w:t>,</w:t>
      </w:r>
      <w:r w:rsidR="00CA7C6D" w:rsidRPr="00130C7A">
        <w:rPr>
          <w:lang w:val="fr-FR"/>
        </w:rPr>
        <w:t xml:space="preserve"> </w:t>
      </w:r>
      <w:r w:rsidR="00667B35" w:rsidRPr="00130C7A">
        <w:rPr>
          <w:lang w:val="fr-FR"/>
        </w:rPr>
        <w:t>à</w:t>
      </w:r>
      <w:r w:rsidR="002508DB" w:rsidRPr="00130C7A">
        <w:rPr>
          <w:lang w:val="fr-FR"/>
        </w:rPr>
        <w:t xml:space="preserve"> l</w:t>
      </w:r>
      <w:r w:rsidR="00130C7A" w:rsidRPr="00130C7A">
        <w:rPr>
          <w:lang w:val="fr-FR"/>
        </w:rPr>
        <w:t>’</w:t>
      </w:r>
      <w:r w:rsidR="00F122D0" w:rsidRPr="00130C7A">
        <w:rPr>
          <w:lang w:val="fr-FR"/>
        </w:rPr>
        <w:t>extinction de l</w:t>
      </w:r>
      <w:r w:rsidR="00130C7A" w:rsidRPr="00130C7A">
        <w:rPr>
          <w:lang w:val="fr-FR"/>
        </w:rPr>
        <w:t>’</w:t>
      </w:r>
      <w:r w:rsidR="00F122D0" w:rsidRPr="00130C7A">
        <w:rPr>
          <w:lang w:val="fr-FR"/>
        </w:rPr>
        <w:t>action publique</w:t>
      </w:r>
      <w:r w:rsidR="00475C3D" w:rsidRPr="00130C7A">
        <w:rPr>
          <w:lang w:val="fr-FR"/>
        </w:rPr>
        <w:t xml:space="preserve">, la Cour observe que </w:t>
      </w:r>
      <w:r w:rsidR="009326D4" w:rsidRPr="00130C7A">
        <w:rPr>
          <w:lang w:val="fr-FR"/>
        </w:rPr>
        <w:t>le juge des investigations préliminaires</w:t>
      </w:r>
      <w:r w:rsidR="0031455F" w:rsidRPr="00130C7A">
        <w:rPr>
          <w:lang w:val="fr-FR"/>
        </w:rPr>
        <w:t xml:space="preserve">, tout en </w:t>
      </w:r>
      <w:r w:rsidR="00F122D0" w:rsidRPr="00130C7A">
        <w:rPr>
          <w:lang w:val="fr-FR"/>
        </w:rPr>
        <w:t>prononç</w:t>
      </w:r>
      <w:r w:rsidR="0070779A" w:rsidRPr="00130C7A">
        <w:rPr>
          <w:lang w:val="fr-FR"/>
        </w:rPr>
        <w:t>ant l</w:t>
      </w:r>
      <w:r w:rsidR="00A20CB6" w:rsidRPr="00130C7A">
        <w:rPr>
          <w:lang w:val="fr-FR"/>
        </w:rPr>
        <w:t xml:space="preserve">e classement des poursuites pour </w:t>
      </w:r>
      <w:r w:rsidR="00F122D0" w:rsidRPr="00130C7A">
        <w:rPr>
          <w:lang w:val="fr-FR"/>
        </w:rPr>
        <w:t>cause</w:t>
      </w:r>
      <w:r w:rsidR="00CA7C6D" w:rsidRPr="00130C7A">
        <w:rPr>
          <w:lang w:val="fr-FR"/>
        </w:rPr>
        <w:t xml:space="preserve"> de</w:t>
      </w:r>
      <w:r w:rsidR="00A20CB6" w:rsidRPr="00130C7A">
        <w:rPr>
          <w:lang w:val="fr-FR"/>
        </w:rPr>
        <w:t xml:space="preserve"> </w:t>
      </w:r>
      <w:r w:rsidR="0070779A" w:rsidRPr="00130C7A">
        <w:rPr>
          <w:lang w:val="fr-FR"/>
        </w:rPr>
        <w:t>prescription</w:t>
      </w:r>
      <w:r w:rsidR="00F122D0" w:rsidRPr="00130C7A">
        <w:rPr>
          <w:lang w:val="fr-FR"/>
        </w:rPr>
        <w:t xml:space="preserve"> des faits</w:t>
      </w:r>
      <w:r w:rsidR="0070779A" w:rsidRPr="00130C7A">
        <w:rPr>
          <w:lang w:val="fr-FR"/>
        </w:rPr>
        <w:t xml:space="preserve">, </w:t>
      </w:r>
      <w:r w:rsidR="00A25307" w:rsidRPr="00130C7A">
        <w:rPr>
          <w:lang w:val="fr-FR"/>
        </w:rPr>
        <w:t xml:space="preserve">a </w:t>
      </w:r>
      <w:r w:rsidR="000037FC" w:rsidRPr="00130C7A">
        <w:rPr>
          <w:lang w:val="fr-FR"/>
        </w:rPr>
        <w:t>indiqué</w:t>
      </w:r>
      <w:r w:rsidR="0070779A" w:rsidRPr="00130C7A">
        <w:rPr>
          <w:lang w:val="fr-FR"/>
        </w:rPr>
        <w:t xml:space="preserve"> que les </w:t>
      </w:r>
      <w:r w:rsidR="00A20CB6" w:rsidRPr="00130C7A">
        <w:rPr>
          <w:lang w:val="fr-FR"/>
        </w:rPr>
        <w:t xml:space="preserve">investigations </w:t>
      </w:r>
      <w:r w:rsidR="00A90E34" w:rsidRPr="00130C7A">
        <w:rPr>
          <w:lang w:val="fr-FR"/>
        </w:rPr>
        <w:t>menées n</w:t>
      </w:r>
      <w:r w:rsidR="00130C7A" w:rsidRPr="00130C7A">
        <w:rPr>
          <w:lang w:val="fr-FR"/>
        </w:rPr>
        <w:t>’</w:t>
      </w:r>
      <w:r w:rsidR="002508DB" w:rsidRPr="00130C7A">
        <w:rPr>
          <w:lang w:val="fr-FR"/>
        </w:rPr>
        <w:t xml:space="preserve">avaient pas permis </w:t>
      </w:r>
      <w:r w:rsidR="007B4D3F" w:rsidRPr="00130C7A">
        <w:rPr>
          <w:lang w:val="fr-FR"/>
        </w:rPr>
        <w:t>de mettre en lumière</w:t>
      </w:r>
      <w:r w:rsidR="002508DB" w:rsidRPr="00130C7A">
        <w:rPr>
          <w:lang w:val="fr-FR"/>
        </w:rPr>
        <w:t xml:space="preserve"> des négligences </w:t>
      </w:r>
      <w:r w:rsidR="005D78EC" w:rsidRPr="00130C7A">
        <w:rPr>
          <w:lang w:val="fr-FR"/>
        </w:rPr>
        <w:t>de la part des autorités pénitentiaires</w:t>
      </w:r>
      <w:r w:rsidRPr="00130C7A">
        <w:rPr>
          <w:lang w:val="fr-FR"/>
        </w:rPr>
        <w:t>,</w:t>
      </w:r>
      <w:r w:rsidR="005D78EC" w:rsidRPr="00130C7A">
        <w:rPr>
          <w:lang w:val="fr-FR"/>
        </w:rPr>
        <w:t xml:space="preserve"> susceptibles </w:t>
      </w:r>
      <w:r w:rsidR="005D5EB5" w:rsidRPr="00130C7A">
        <w:rPr>
          <w:lang w:val="fr-FR"/>
        </w:rPr>
        <w:t>d</w:t>
      </w:r>
      <w:r w:rsidR="00130C7A" w:rsidRPr="00130C7A">
        <w:rPr>
          <w:lang w:val="fr-FR"/>
        </w:rPr>
        <w:t>’</w:t>
      </w:r>
      <w:r w:rsidR="005D5EB5" w:rsidRPr="00130C7A">
        <w:rPr>
          <w:lang w:val="fr-FR"/>
        </w:rPr>
        <w:t>engager</w:t>
      </w:r>
      <w:r w:rsidR="005D78EC" w:rsidRPr="00130C7A">
        <w:rPr>
          <w:lang w:val="fr-FR"/>
        </w:rPr>
        <w:t xml:space="preserve"> la responsabilité des prévenus</w:t>
      </w:r>
      <w:r w:rsidR="005D5EB5" w:rsidRPr="00130C7A">
        <w:rPr>
          <w:lang w:val="fr-FR"/>
        </w:rPr>
        <w:t xml:space="preserve"> du fait de leurs actions ou omissions</w:t>
      </w:r>
      <w:r w:rsidRPr="00130C7A">
        <w:rPr>
          <w:lang w:val="fr-FR"/>
        </w:rPr>
        <w:t xml:space="preserve">. </w:t>
      </w:r>
      <w:r w:rsidR="005D78EC" w:rsidRPr="00130C7A">
        <w:rPr>
          <w:lang w:val="fr-FR"/>
        </w:rPr>
        <w:t>D</w:t>
      </w:r>
      <w:r w:rsidR="005D5EB5" w:rsidRPr="00130C7A">
        <w:rPr>
          <w:lang w:val="fr-FR"/>
        </w:rPr>
        <w:t>è</w:t>
      </w:r>
      <w:r w:rsidR="005D78EC" w:rsidRPr="00130C7A">
        <w:rPr>
          <w:lang w:val="fr-FR"/>
        </w:rPr>
        <w:t>s lors,</w:t>
      </w:r>
      <w:r w:rsidR="00CA7C6D" w:rsidRPr="00130C7A">
        <w:rPr>
          <w:lang w:val="fr-FR"/>
        </w:rPr>
        <w:t xml:space="preserve"> r</w:t>
      </w:r>
      <w:r w:rsidR="0031455F" w:rsidRPr="00130C7A">
        <w:rPr>
          <w:lang w:val="fr-FR"/>
        </w:rPr>
        <w:t xml:space="preserve">ien ne laisse entendre que </w:t>
      </w:r>
      <w:r w:rsidR="00A20CB6" w:rsidRPr="00130C7A">
        <w:rPr>
          <w:lang w:val="fr-FR"/>
        </w:rPr>
        <w:t>la</w:t>
      </w:r>
      <w:r w:rsidR="0031455F" w:rsidRPr="00130C7A">
        <w:rPr>
          <w:lang w:val="fr-FR"/>
        </w:rPr>
        <w:t xml:space="preserve"> prescription des faits</w:t>
      </w:r>
      <w:r w:rsidR="002508DB" w:rsidRPr="00130C7A">
        <w:rPr>
          <w:lang w:val="fr-FR"/>
        </w:rPr>
        <w:t>, bien que regrettable,</w:t>
      </w:r>
      <w:r w:rsidR="0031455F" w:rsidRPr="00130C7A">
        <w:rPr>
          <w:lang w:val="fr-FR"/>
        </w:rPr>
        <w:t xml:space="preserve"> </w:t>
      </w:r>
      <w:r w:rsidR="005F6279" w:rsidRPr="00130C7A">
        <w:rPr>
          <w:lang w:val="fr-FR"/>
        </w:rPr>
        <w:t xml:space="preserve">ait empêché </w:t>
      </w:r>
      <w:r w:rsidR="002470AB" w:rsidRPr="00130C7A">
        <w:rPr>
          <w:i/>
          <w:lang w:val="fr-FR"/>
        </w:rPr>
        <w:t>de facto</w:t>
      </w:r>
      <w:r w:rsidR="002470AB" w:rsidRPr="00130C7A">
        <w:rPr>
          <w:lang w:val="fr-FR"/>
        </w:rPr>
        <w:t xml:space="preserve"> </w:t>
      </w:r>
      <w:r w:rsidR="005F6279" w:rsidRPr="00130C7A">
        <w:rPr>
          <w:lang w:val="fr-FR"/>
        </w:rPr>
        <w:t>l</w:t>
      </w:r>
      <w:r w:rsidR="00130C7A" w:rsidRPr="00130C7A">
        <w:rPr>
          <w:lang w:val="fr-FR"/>
        </w:rPr>
        <w:t>’</w:t>
      </w:r>
      <w:r w:rsidR="005F6279" w:rsidRPr="00130C7A">
        <w:rPr>
          <w:lang w:val="fr-FR"/>
        </w:rPr>
        <w:t>accomplissement d</w:t>
      </w:r>
      <w:r w:rsidR="00130C7A" w:rsidRPr="00130C7A">
        <w:rPr>
          <w:lang w:val="fr-FR"/>
        </w:rPr>
        <w:t>’</w:t>
      </w:r>
      <w:r w:rsidR="005F6279" w:rsidRPr="00130C7A">
        <w:rPr>
          <w:lang w:val="fr-FR"/>
        </w:rPr>
        <w:t>actes d</w:t>
      </w:r>
      <w:r w:rsidR="00130C7A" w:rsidRPr="00130C7A">
        <w:rPr>
          <w:lang w:val="fr-FR"/>
        </w:rPr>
        <w:t>’</w:t>
      </w:r>
      <w:r w:rsidR="005F6279" w:rsidRPr="00130C7A">
        <w:rPr>
          <w:lang w:val="fr-FR"/>
        </w:rPr>
        <w:t xml:space="preserve">investigation essentiels pour la recherche de la vérité ou </w:t>
      </w:r>
      <w:r w:rsidR="00E52AE9" w:rsidRPr="00130C7A">
        <w:rPr>
          <w:lang w:val="fr-FR"/>
        </w:rPr>
        <w:t xml:space="preserve">ait </w:t>
      </w:r>
      <w:r w:rsidR="005F6279" w:rsidRPr="00130C7A">
        <w:rPr>
          <w:lang w:val="fr-FR"/>
        </w:rPr>
        <w:t xml:space="preserve">rendu impossible </w:t>
      </w:r>
      <w:r w:rsidR="00E52AE9" w:rsidRPr="00130C7A">
        <w:rPr>
          <w:lang w:val="fr-FR"/>
        </w:rPr>
        <w:t xml:space="preserve">la </w:t>
      </w:r>
      <w:r w:rsidR="005F6279" w:rsidRPr="00130C7A">
        <w:rPr>
          <w:lang w:val="fr-FR"/>
        </w:rPr>
        <w:t>condamnation des responsables du décès</w:t>
      </w:r>
      <w:r w:rsidR="00202EF7" w:rsidRPr="00130C7A">
        <w:rPr>
          <w:lang w:val="fr-FR"/>
        </w:rPr>
        <w:t xml:space="preserve"> d</w:t>
      </w:r>
      <w:r w:rsidR="005945AB" w:rsidRPr="00130C7A">
        <w:rPr>
          <w:lang w:val="fr-FR"/>
        </w:rPr>
        <w:t xml:space="preserve">e </w:t>
      </w:r>
      <w:r w:rsidR="00202EF7" w:rsidRPr="00130C7A">
        <w:rPr>
          <w:lang w:val="fr-FR"/>
        </w:rPr>
        <w:t>A.</w:t>
      </w:r>
      <w:r w:rsidR="00A20CB6" w:rsidRPr="00130C7A">
        <w:rPr>
          <w:lang w:val="fr-FR"/>
        </w:rPr>
        <w:t xml:space="preserve">, </w:t>
      </w:r>
      <w:r w:rsidR="002508DB" w:rsidRPr="00130C7A">
        <w:rPr>
          <w:lang w:val="fr-FR"/>
        </w:rPr>
        <w:t xml:space="preserve">en violation </w:t>
      </w:r>
      <w:r w:rsidR="005D5EB5" w:rsidRPr="00130C7A">
        <w:rPr>
          <w:lang w:val="fr-FR"/>
        </w:rPr>
        <w:t xml:space="preserve">des exigences procédurales </w:t>
      </w:r>
      <w:r w:rsidR="00A20CB6" w:rsidRPr="00130C7A">
        <w:rPr>
          <w:lang w:val="fr-FR"/>
        </w:rPr>
        <w:t>de l</w:t>
      </w:r>
      <w:r w:rsidR="00130C7A" w:rsidRPr="00130C7A">
        <w:rPr>
          <w:lang w:val="fr-FR"/>
        </w:rPr>
        <w:t>’</w:t>
      </w:r>
      <w:r w:rsidR="00A20CB6" w:rsidRPr="00130C7A">
        <w:rPr>
          <w:lang w:val="fr-FR"/>
        </w:rPr>
        <w:t xml:space="preserve">article 2 de la Convention. </w:t>
      </w:r>
      <w:r w:rsidR="00FF21E2" w:rsidRPr="00130C7A">
        <w:rPr>
          <w:lang w:val="fr-FR"/>
        </w:rPr>
        <w:t xml:space="preserve">À cet égard, la Cour rappelle que </w:t>
      </w:r>
      <w:r w:rsidR="00A20CB6" w:rsidRPr="00130C7A">
        <w:rPr>
          <w:lang w:val="fr-FR"/>
        </w:rPr>
        <w:t>cette disposition</w:t>
      </w:r>
      <w:r w:rsidR="00E52AE9" w:rsidRPr="00130C7A">
        <w:rPr>
          <w:lang w:val="fr-FR"/>
        </w:rPr>
        <w:t xml:space="preserve"> </w:t>
      </w:r>
      <w:r w:rsidR="00FF21E2" w:rsidRPr="00130C7A">
        <w:rPr>
          <w:lang w:val="fr-FR"/>
        </w:rPr>
        <w:t>n</w:t>
      </w:r>
      <w:r w:rsidR="00130C7A" w:rsidRPr="00130C7A">
        <w:rPr>
          <w:lang w:val="fr-FR"/>
        </w:rPr>
        <w:t>’</w:t>
      </w:r>
      <w:r w:rsidR="00FF21E2" w:rsidRPr="00130C7A">
        <w:rPr>
          <w:lang w:val="fr-FR"/>
        </w:rPr>
        <w:t>implique nullement le droit pour un requérant de faire poursuivre ou condamner au pénal des tiers (</w:t>
      </w:r>
      <w:proofErr w:type="spellStart"/>
      <w:r w:rsidR="00FF21E2" w:rsidRPr="00130C7A">
        <w:rPr>
          <w:i/>
          <w:lang w:val="fr-FR"/>
        </w:rPr>
        <w:t>Öneryıldız</w:t>
      </w:r>
      <w:proofErr w:type="spellEnd"/>
      <w:r w:rsidR="00FF21E2" w:rsidRPr="00130C7A">
        <w:rPr>
          <w:lang w:val="fr-FR"/>
        </w:rPr>
        <w:t>, précité, § 96) ou une obligation de résultat supposant que toute poursuite doit se solder par une condamnation, voire par le prononcé d</w:t>
      </w:r>
      <w:r w:rsidR="00130C7A" w:rsidRPr="00130C7A">
        <w:rPr>
          <w:lang w:val="fr-FR"/>
        </w:rPr>
        <w:t>’</w:t>
      </w:r>
      <w:r w:rsidR="00FF21E2" w:rsidRPr="00130C7A">
        <w:rPr>
          <w:lang w:val="fr-FR"/>
        </w:rPr>
        <w:t>une peine déterminée (</w:t>
      </w:r>
      <w:proofErr w:type="spellStart"/>
      <w:r w:rsidR="003938CF" w:rsidRPr="00130C7A">
        <w:rPr>
          <w:i/>
          <w:lang w:val="fr-FR"/>
        </w:rPr>
        <w:t>Özel</w:t>
      </w:r>
      <w:proofErr w:type="spellEnd"/>
      <w:r w:rsidR="003938CF" w:rsidRPr="00130C7A">
        <w:rPr>
          <w:i/>
          <w:lang w:val="fr-FR"/>
        </w:rPr>
        <w:t xml:space="preserve"> et </w:t>
      </w:r>
      <w:r w:rsidR="00FF21E2" w:rsidRPr="00130C7A">
        <w:rPr>
          <w:i/>
          <w:lang w:val="fr-FR"/>
        </w:rPr>
        <w:t>autres c. Turquie</w:t>
      </w:r>
      <w:r w:rsidR="00FF21E2" w:rsidRPr="00130C7A">
        <w:rPr>
          <w:lang w:val="fr-FR"/>
        </w:rPr>
        <w:t>, n</w:t>
      </w:r>
      <w:r w:rsidR="00FF21E2" w:rsidRPr="00130C7A">
        <w:rPr>
          <w:vertAlign w:val="superscript"/>
          <w:lang w:val="fr-FR"/>
        </w:rPr>
        <w:t>os</w:t>
      </w:r>
      <w:r w:rsidR="00FF21E2" w:rsidRPr="00130C7A">
        <w:rPr>
          <w:lang w:val="fr-FR"/>
        </w:rPr>
        <w:t xml:space="preserve"> 14350/05, 15245/05 et 16051/05, § 187, 17</w:t>
      </w:r>
      <w:r w:rsidR="00964CE9" w:rsidRPr="00130C7A">
        <w:rPr>
          <w:lang w:val="fr-FR"/>
        </w:rPr>
        <w:t> </w:t>
      </w:r>
      <w:r w:rsidR="00FF21E2" w:rsidRPr="00130C7A">
        <w:rPr>
          <w:lang w:val="fr-FR"/>
        </w:rPr>
        <w:t>novembre 2015</w:t>
      </w:r>
      <w:r w:rsidR="00964CE9" w:rsidRPr="00130C7A">
        <w:rPr>
          <w:lang w:val="fr-FR"/>
        </w:rPr>
        <w:t>, et</w:t>
      </w:r>
      <w:r w:rsidR="005D5EB5" w:rsidRPr="00130C7A">
        <w:rPr>
          <w:lang w:val="fr-FR"/>
        </w:rPr>
        <w:t xml:space="preserve"> </w:t>
      </w:r>
      <w:r w:rsidR="006F05A7" w:rsidRPr="00130C7A">
        <w:rPr>
          <w:i/>
          <w:lang w:val="fr-FR"/>
        </w:rPr>
        <w:t xml:space="preserve">Nicolae </w:t>
      </w:r>
      <w:proofErr w:type="spellStart"/>
      <w:r w:rsidR="006F05A7" w:rsidRPr="00130C7A">
        <w:rPr>
          <w:i/>
          <w:lang w:val="fr-FR"/>
        </w:rPr>
        <w:t>Virgiliu</w:t>
      </w:r>
      <w:proofErr w:type="spellEnd"/>
      <w:r w:rsidR="006F05A7" w:rsidRPr="00130C7A">
        <w:rPr>
          <w:i/>
          <w:lang w:val="fr-FR"/>
        </w:rPr>
        <w:t xml:space="preserve"> </w:t>
      </w:r>
      <w:proofErr w:type="spellStart"/>
      <w:r w:rsidR="006F05A7" w:rsidRPr="00130C7A">
        <w:rPr>
          <w:i/>
          <w:lang w:val="fr-FR"/>
        </w:rPr>
        <w:t>Tănase</w:t>
      </w:r>
      <w:proofErr w:type="spellEnd"/>
      <w:r w:rsidR="006F05A7" w:rsidRPr="00130C7A">
        <w:rPr>
          <w:lang w:val="fr-FR"/>
        </w:rPr>
        <w:t>, précité, §</w:t>
      </w:r>
      <w:r w:rsidR="00964CE9" w:rsidRPr="00130C7A">
        <w:rPr>
          <w:lang w:val="fr-FR"/>
        </w:rPr>
        <w:t> </w:t>
      </w:r>
      <w:r w:rsidR="006F05A7" w:rsidRPr="00130C7A">
        <w:rPr>
          <w:lang w:val="fr-FR"/>
        </w:rPr>
        <w:t>185</w:t>
      </w:r>
      <w:r w:rsidR="00FF21E2" w:rsidRPr="00130C7A">
        <w:rPr>
          <w:lang w:val="fr-FR"/>
        </w:rPr>
        <w:t>).</w:t>
      </w:r>
    </w:p>
    <w:p w:rsidR="002F5B0A" w:rsidRPr="00130C7A" w:rsidRDefault="004A0DD9" w:rsidP="00130C7A">
      <w:pPr>
        <w:pStyle w:val="ECHRPara"/>
        <w:rPr>
          <w:lang w:val="fr-FR"/>
        </w:rPr>
      </w:pPr>
      <w:r w:rsidRPr="00130C7A">
        <w:rPr>
          <w:lang w:val="fr-FR"/>
        </w:rPr>
        <w:fldChar w:fldCharType="begin"/>
      </w:r>
      <w:r w:rsidRPr="00130C7A">
        <w:rPr>
          <w:lang w:val="fr-FR"/>
        </w:rPr>
        <w:instrText xml:space="preserve"> SEQ level0 \*arabic </w:instrText>
      </w:r>
      <w:r w:rsidRPr="00130C7A">
        <w:rPr>
          <w:lang w:val="fr-FR"/>
        </w:rPr>
        <w:fldChar w:fldCharType="separate"/>
      </w:r>
      <w:r w:rsidR="00130C7A" w:rsidRPr="00130C7A">
        <w:rPr>
          <w:noProof/>
          <w:lang w:val="fr-FR"/>
        </w:rPr>
        <w:t>102</w:t>
      </w:r>
      <w:r w:rsidRPr="00130C7A">
        <w:rPr>
          <w:lang w:val="fr-FR"/>
        </w:rPr>
        <w:fldChar w:fldCharType="end"/>
      </w:r>
      <w:r w:rsidRPr="00130C7A">
        <w:rPr>
          <w:lang w:val="fr-FR"/>
        </w:rPr>
        <w:t>.  </w:t>
      </w:r>
      <w:r w:rsidR="002508DB" w:rsidRPr="00130C7A">
        <w:rPr>
          <w:lang w:val="fr-FR"/>
        </w:rPr>
        <w:t>Compte tenu de ce qu</w:t>
      </w:r>
      <w:r w:rsidR="00964CE9" w:rsidRPr="00130C7A">
        <w:rPr>
          <w:lang w:val="fr-FR"/>
        </w:rPr>
        <w:t>i</w:t>
      </w:r>
      <w:r w:rsidR="002508DB" w:rsidRPr="00130C7A">
        <w:rPr>
          <w:lang w:val="fr-FR"/>
        </w:rPr>
        <w:t xml:space="preserve"> précède</w:t>
      </w:r>
      <w:r w:rsidR="00FF21E2" w:rsidRPr="00130C7A">
        <w:rPr>
          <w:lang w:val="fr-FR"/>
        </w:rPr>
        <w:t xml:space="preserve">, la Cour estime que les autorités </w:t>
      </w:r>
      <w:r w:rsidR="00202EF7" w:rsidRPr="00130C7A">
        <w:rPr>
          <w:lang w:val="fr-FR"/>
        </w:rPr>
        <w:t xml:space="preserve">italiennes </w:t>
      </w:r>
      <w:r w:rsidR="00FF21E2" w:rsidRPr="00130C7A">
        <w:rPr>
          <w:lang w:val="fr-FR"/>
        </w:rPr>
        <w:t>ont agi avec la diligence requise par le volet procédural de l</w:t>
      </w:r>
      <w:r w:rsidR="00130C7A" w:rsidRPr="00130C7A">
        <w:rPr>
          <w:lang w:val="fr-FR"/>
        </w:rPr>
        <w:t>’</w:t>
      </w:r>
      <w:r w:rsidR="00FF21E2" w:rsidRPr="00130C7A">
        <w:rPr>
          <w:lang w:val="fr-FR"/>
        </w:rPr>
        <w:t>article 2 de la Convention. Elle estime également que le requérant a été suffisamment associé à l</w:t>
      </w:r>
      <w:r w:rsidR="00130C7A" w:rsidRPr="00130C7A">
        <w:rPr>
          <w:lang w:val="fr-FR"/>
        </w:rPr>
        <w:t>’</w:t>
      </w:r>
      <w:r w:rsidR="00FF21E2" w:rsidRPr="00130C7A">
        <w:rPr>
          <w:lang w:val="fr-FR"/>
        </w:rPr>
        <w:t>enquête</w:t>
      </w:r>
      <w:r w:rsidR="003015BA" w:rsidRPr="00130C7A">
        <w:rPr>
          <w:lang w:val="fr-FR"/>
        </w:rPr>
        <w:t xml:space="preserve">, au vue notamment de sa participation à certains actes de la procédure et à la possibilité de </w:t>
      </w:r>
      <w:r w:rsidR="0028169C" w:rsidRPr="00130C7A">
        <w:rPr>
          <w:lang w:val="fr-FR"/>
        </w:rPr>
        <w:t>s</w:t>
      </w:r>
      <w:r w:rsidR="00130C7A" w:rsidRPr="00130C7A">
        <w:rPr>
          <w:lang w:val="fr-FR"/>
        </w:rPr>
        <w:t>’</w:t>
      </w:r>
      <w:r w:rsidR="0028169C" w:rsidRPr="00130C7A">
        <w:rPr>
          <w:lang w:val="fr-FR"/>
        </w:rPr>
        <w:t>opposer aux</w:t>
      </w:r>
      <w:r w:rsidR="003015BA" w:rsidRPr="00130C7A">
        <w:rPr>
          <w:lang w:val="fr-FR"/>
        </w:rPr>
        <w:t xml:space="preserve"> demandes </w:t>
      </w:r>
      <w:r w:rsidR="001F28E4" w:rsidRPr="00130C7A">
        <w:rPr>
          <w:lang w:val="fr-FR"/>
        </w:rPr>
        <w:t>de classement du parquet (paragraphes 12, 14, 15, 22 et 28)</w:t>
      </w:r>
      <w:r w:rsidR="003015BA" w:rsidRPr="00130C7A">
        <w:rPr>
          <w:lang w:val="fr-FR"/>
        </w:rPr>
        <w:t>.</w:t>
      </w:r>
      <w:r w:rsidR="001D7D5A" w:rsidRPr="00130C7A">
        <w:rPr>
          <w:lang w:val="fr-FR"/>
        </w:rPr>
        <w:t xml:space="preserve"> </w:t>
      </w:r>
      <w:r w:rsidR="003015BA" w:rsidRPr="00130C7A">
        <w:rPr>
          <w:lang w:val="fr-FR"/>
        </w:rPr>
        <w:t xml:space="preserve">En outre, </w:t>
      </w:r>
      <w:r w:rsidR="00A358C7" w:rsidRPr="00130C7A">
        <w:rPr>
          <w:lang w:val="fr-FR"/>
        </w:rPr>
        <w:t>le</w:t>
      </w:r>
      <w:r w:rsidR="000D704D" w:rsidRPr="00130C7A">
        <w:rPr>
          <w:lang w:val="fr-FR"/>
        </w:rPr>
        <w:t xml:space="preserve"> ralentissement observé au cours de </w:t>
      </w:r>
      <w:r w:rsidR="001D7D5A" w:rsidRPr="00130C7A">
        <w:rPr>
          <w:lang w:val="fr-FR"/>
        </w:rPr>
        <w:t xml:space="preserve">celle-ci </w:t>
      </w:r>
      <w:r w:rsidR="00425B4F" w:rsidRPr="00130C7A">
        <w:rPr>
          <w:lang w:val="fr-FR"/>
        </w:rPr>
        <w:t>ne suffit pas à faire conclure à la responsabilité de l</w:t>
      </w:r>
      <w:r w:rsidR="00130C7A" w:rsidRPr="00130C7A">
        <w:rPr>
          <w:lang w:val="fr-FR"/>
        </w:rPr>
        <w:t>’</w:t>
      </w:r>
      <w:r w:rsidR="00425B4F" w:rsidRPr="00130C7A">
        <w:rPr>
          <w:lang w:val="fr-FR"/>
        </w:rPr>
        <w:t>État défendeur au titre de l</w:t>
      </w:r>
      <w:r w:rsidR="00130C7A" w:rsidRPr="00130C7A">
        <w:rPr>
          <w:lang w:val="fr-FR"/>
        </w:rPr>
        <w:t>’</w:t>
      </w:r>
      <w:r w:rsidR="00425B4F" w:rsidRPr="00130C7A">
        <w:rPr>
          <w:lang w:val="fr-FR"/>
        </w:rPr>
        <w:t>obligation procédurale découlant pour lui</w:t>
      </w:r>
      <w:r w:rsidR="005D5EB5" w:rsidRPr="00130C7A">
        <w:rPr>
          <w:lang w:val="fr-FR"/>
        </w:rPr>
        <w:t xml:space="preserve"> de l</w:t>
      </w:r>
      <w:r w:rsidR="00130C7A" w:rsidRPr="00130C7A">
        <w:rPr>
          <w:lang w:val="fr-FR"/>
        </w:rPr>
        <w:t>’</w:t>
      </w:r>
      <w:r w:rsidR="005D5EB5" w:rsidRPr="00130C7A">
        <w:rPr>
          <w:lang w:val="fr-FR"/>
        </w:rPr>
        <w:t>article</w:t>
      </w:r>
      <w:r w:rsidR="002362A1" w:rsidRPr="00130C7A">
        <w:rPr>
          <w:lang w:val="fr-FR"/>
        </w:rPr>
        <w:t> </w:t>
      </w:r>
      <w:r w:rsidR="005D5EB5" w:rsidRPr="00130C7A">
        <w:rPr>
          <w:lang w:val="fr-FR"/>
        </w:rPr>
        <w:t>2 de la Convention.</w:t>
      </w:r>
      <w:r w:rsidR="0072270B" w:rsidRPr="00130C7A">
        <w:rPr>
          <w:lang w:val="fr-FR"/>
        </w:rPr>
        <w:t xml:space="preserve"> Partant, il n</w:t>
      </w:r>
      <w:r w:rsidR="00130C7A" w:rsidRPr="00130C7A">
        <w:rPr>
          <w:lang w:val="fr-FR"/>
        </w:rPr>
        <w:t>’</w:t>
      </w:r>
      <w:r w:rsidR="0072270B" w:rsidRPr="00130C7A">
        <w:rPr>
          <w:lang w:val="fr-FR"/>
        </w:rPr>
        <w:t>y a pas eu violation de l</w:t>
      </w:r>
      <w:r w:rsidR="00130C7A" w:rsidRPr="00130C7A">
        <w:rPr>
          <w:lang w:val="fr-FR"/>
        </w:rPr>
        <w:t>’</w:t>
      </w:r>
      <w:r w:rsidR="0072270B" w:rsidRPr="00130C7A">
        <w:rPr>
          <w:lang w:val="fr-FR"/>
        </w:rPr>
        <w:t>article 2 de la Convention sous son volet procédural dans les circonstances de l</w:t>
      </w:r>
      <w:r w:rsidR="00130C7A" w:rsidRPr="00130C7A">
        <w:rPr>
          <w:lang w:val="fr-FR"/>
        </w:rPr>
        <w:t>’</w:t>
      </w:r>
      <w:r w:rsidR="0072270B" w:rsidRPr="00130C7A">
        <w:rPr>
          <w:lang w:val="fr-FR"/>
        </w:rPr>
        <w:t>espèce.</w:t>
      </w:r>
    </w:p>
    <w:p w:rsidR="00E77CB3" w:rsidRPr="00130C7A" w:rsidRDefault="00E77CB3" w:rsidP="00130C7A">
      <w:pPr>
        <w:pStyle w:val="ECHRTitle1"/>
        <w:rPr>
          <w:lang w:val="fr-FR"/>
        </w:rPr>
      </w:pPr>
      <w:r w:rsidRPr="00130C7A">
        <w:rPr>
          <w:lang w:val="fr-FR"/>
        </w:rPr>
        <w:t>PAR CES MOTIFS, LA COUR</w:t>
      </w:r>
    </w:p>
    <w:p w:rsidR="00FB2B45" w:rsidRPr="00130C7A" w:rsidRDefault="00FB2B45" w:rsidP="00130C7A">
      <w:pPr>
        <w:pStyle w:val="JuList"/>
        <w:rPr>
          <w:lang w:val="fr-FR"/>
        </w:rPr>
      </w:pPr>
      <w:r w:rsidRPr="00130C7A">
        <w:rPr>
          <w:lang w:val="fr-FR"/>
        </w:rPr>
        <w:t>1.  </w:t>
      </w:r>
      <w:r w:rsidR="00A87C0F" w:rsidRPr="00130C7A">
        <w:rPr>
          <w:i/>
          <w:lang w:val="fr-FR"/>
        </w:rPr>
        <w:t>Dit</w:t>
      </w:r>
      <w:r w:rsidR="00DA431F" w:rsidRPr="00130C7A">
        <w:rPr>
          <w:lang w:val="fr-FR"/>
        </w:rPr>
        <w:t xml:space="preserve">, </w:t>
      </w:r>
      <w:r w:rsidR="001C5FD4" w:rsidRPr="00130C7A">
        <w:rPr>
          <w:lang w:val="fr-FR"/>
        </w:rPr>
        <w:t>à la majorité</w:t>
      </w:r>
      <w:r w:rsidR="00DA431F" w:rsidRPr="00130C7A">
        <w:rPr>
          <w:lang w:val="fr-FR"/>
        </w:rPr>
        <w:t xml:space="preserve">, </w:t>
      </w:r>
      <w:r w:rsidR="00890701" w:rsidRPr="00130C7A">
        <w:rPr>
          <w:lang w:val="fr-FR"/>
        </w:rPr>
        <w:t xml:space="preserve">que la requérante </w:t>
      </w:r>
      <w:r w:rsidR="003663BE" w:rsidRPr="00130C7A">
        <w:rPr>
          <w:lang w:val="fr-FR"/>
        </w:rPr>
        <w:t>Carmela</w:t>
      </w:r>
      <w:r w:rsidR="00667BA5" w:rsidRPr="00130C7A">
        <w:rPr>
          <w:lang w:val="fr-FR"/>
        </w:rPr>
        <w:t xml:space="preserve"> </w:t>
      </w:r>
      <w:proofErr w:type="spellStart"/>
      <w:r w:rsidR="00667BA5" w:rsidRPr="00130C7A">
        <w:rPr>
          <w:lang w:val="fr-FR"/>
        </w:rPr>
        <w:t>Parziale</w:t>
      </w:r>
      <w:proofErr w:type="spellEnd"/>
      <w:r w:rsidR="00667BA5" w:rsidRPr="00130C7A">
        <w:rPr>
          <w:lang w:val="fr-FR"/>
        </w:rPr>
        <w:t xml:space="preserve"> </w:t>
      </w:r>
      <w:r w:rsidR="00890701" w:rsidRPr="00130C7A">
        <w:rPr>
          <w:lang w:val="fr-FR"/>
        </w:rPr>
        <w:t>ne peut se prétendre « victime » aux fins de l</w:t>
      </w:r>
      <w:r w:rsidR="00130C7A" w:rsidRPr="00130C7A">
        <w:rPr>
          <w:lang w:val="fr-FR"/>
        </w:rPr>
        <w:t>’</w:t>
      </w:r>
      <w:r w:rsidR="00890701" w:rsidRPr="00130C7A">
        <w:rPr>
          <w:lang w:val="fr-FR"/>
        </w:rPr>
        <w:t>article 34 de la Convention ;</w:t>
      </w:r>
    </w:p>
    <w:p w:rsidR="00FE36A8" w:rsidRPr="00130C7A" w:rsidRDefault="00FE36A8" w:rsidP="00130C7A">
      <w:pPr>
        <w:pStyle w:val="JuList"/>
        <w:rPr>
          <w:lang w:val="fr-FR"/>
        </w:rPr>
      </w:pPr>
    </w:p>
    <w:p w:rsidR="009A3163" w:rsidRPr="00130C7A" w:rsidRDefault="00CD713A" w:rsidP="00130C7A">
      <w:pPr>
        <w:pStyle w:val="JuList"/>
        <w:rPr>
          <w:lang w:val="fr-FR"/>
        </w:rPr>
      </w:pPr>
      <w:r w:rsidRPr="00130C7A">
        <w:rPr>
          <w:lang w:val="fr-FR"/>
        </w:rPr>
        <w:t>2.  </w:t>
      </w:r>
      <w:r w:rsidR="00A87C0F" w:rsidRPr="00130C7A">
        <w:rPr>
          <w:i/>
          <w:lang w:val="fr-FR"/>
        </w:rPr>
        <w:t>Déclare</w:t>
      </w:r>
      <w:r w:rsidR="00FE36A8" w:rsidRPr="00130C7A">
        <w:rPr>
          <w:lang w:val="fr-FR"/>
        </w:rPr>
        <w:t>, à l</w:t>
      </w:r>
      <w:r w:rsidR="00130C7A" w:rsidRPr="00130C7A">
        <w:rPr>
          <w:lang w:val="fr-FR"/>
        </w:rPr>
        <w:t>’</w:t>
      </w:r>
      <w:r w:rsidR="00FE36A8" w:rsidRPr="00130C7A">
        <w:rPr>
          <w:lang w:val="fr-FR"/>
        </w:rPr>
        <w:t xml:space="preserve">unanimité, </w:t>
      </w:r>
      <w:r w:rsidR="00890701" w:rsidRPr="00130C7A">
        <w:rPr>
          <w:lang w:val="fr-FR"/>
        </w:rPr>
        <w:t xml:space="preserve">la requête recevable </w:t>
      </w:r>
      <w:r w:rsidR="00086737" w:rsidRPr="00130C7A">
        <w:rPr>
          <w:lang w:val="fr-FR"/>
        </w:rPr>
        <w:t>pour autant qu</w:t>
      </w:r>
      <w:r w:rsidR="00130C7A" w:rsidRPr="00130C7A">
        <w:rPr>
          <w:lang w:val="fr-FR"/>
        </w:rPr>
        <w:t>’</w:t>
      </w:r>
      <w:r w:rsidR="00086737" w:rsidRPr="00130C7A">
        <w:rPr>
          <w:lang w:val="fr-FR"/>
        </w:rPr>
        <w:t>elle concerne le requérant </w:t>
      </w:r>
      <w:r w:rsidR="003663BE" w:rsidRPr="00130C7A">
        <w:rPr>
          <w:lang w:val="fr-FR"/>
        </w:rPr>
        <w:t>Gian Paolo</w:t>
      </w:r>
      <w:r w:rsidR="00667BA5" w:rsidRPr="00130C7A">
        <w:rPr>
          <w:lang w:val="fr-FR"/>
        </w:rPr>
        <w:t xml:space="preserve"> </w:t>
      </w:r>
      <w:proofErr w:type="spellStart"/>
      <w:r w:rsidR="00667BA5" w:rsidRPr="00130C7A">
        <w:rPr>
          <w:lang w:val="fr-FR"/>
        </w:rPr>
        <w:t>Fabris</w:t>
      </w:r>
      <w:proofErr w:type="spellEnd"/>
      <w:r w:rsidR="00667BA5" w:rsidRPr="00130C7A">
        <w:rPr>
          <w:lang w:val="fr-FR"/>
        </w:rPr>
        <w:t xml:space="preserve"> </w:t>
      </w:r>
      <w:r w:rsidR="00086737" w:rsidRPr="00130C7A">
        <w:rPr>
          <w:lang w:val="fr-FR"/>
        </w:rPr>
        <w:t>;</w:t>
      </w:r>
    </w:p>
    <w:p w:rsidR="00E77CB3" w:rsidRPr="00130C7A" w:rsidRDefault="00E77CB3" w:rsidP="00130C7A">
      <w:pPr>
        <w:pStyle w:val="JuList"/>
        <w:ind w:left="0" w:firstLine="0"/>
        <w:rPr>
          <w:lang w:val="fr-FR"/>
        </w:rPr>
      </w:pPr>
    </w:p>
    <w:p w:rsidR="00E77CB3" w:rsidRPr="00130C7A" w:rsidRDefault="00E70D87" w:rsidP="00130C7A">
      <w:pPr>
        <w:pStyle w:val="JuList"/>
        <w:rPr>
          <w:lang w:val="fr-FR"/>
        </w:rPr>
      </w:pPr>
      <w:r w:rsidRPr="00130C7A">
        <w:rPr>
          <w:lang w:val="fr-FR"/>
        </w:rPr>
        <w:t>3</w:t>
      </w:r>
      <w:r w:rsidR="00E77CB3" w:rsidRPr="00130C7A">
        <w:rPr>
          <w:lang w:val="fr-FR"/>
        </w:rPr>
        <w:t>.  </w:t>
      </w:r>
      <w:r w:rsidR="00E77CB3" w:rsidRPr="00130C7A">
        <w:rPr>
          <w:i/>
          <w:lang w:val="fr-FR"/>
        </w:rPr>
        <w:t>Dit</w:t>
      </w:r>
      <w:r w:rsidR="00F71371" w:rsidRPr="00130C7A">
        <w:rPr>
          <w:lang w:val="fr-FR"/>
        </w:rPr>
        <w:t>, à l</w:t>
      </w:r>
      <w:r w:rsidR="00130C7A" w:rsidRPr="00130C7A">
        <w:rPr>
          <w:lang w:val="fr-FR"/>
        </w:rPr>
        <w:t>’</w:t>
      </w:r>
      <w:r w:rsidR="00F71371" w:rsidRPr="00130C7A">
        <w:rPr>
          <w:lang w:val="fr-FR"/>
        </w:rPr>
        <w:t xml:space="preserve">unanimité, </w:t>
      </w:r>
      <w:r w:rsidR="00E77CB3" w:rsidRPr="00130C7A">
        <w:rPr>
          <w:lang w:val="fr-FR"/>
        </w:rPr>
        <w:t>qu</w:t>
      </w:r>
      <w:r w:rsidR="00130C7A" w:rsidRPr="00130C7A">
        <w:rPr>
          <w:lang w:val="fr-FR"/>
        </w:rPr>
        <w:t>’</w:t>
      </w:r>
      <w:r w:rsidR="00E77CB3" w:rsidRPr="00130C7A">
        <w:rPr>
          <w:lang w:val="fr-FR"/>
        </w:rPr>
        <w:t xml:space="preserve">il </w:t>
      </w:r>
      <w:r w:rsidR="00F66CB5" w:rsidRPr="00130C7A">
        <w:rPr>
          <w:lang w:val="fr-FR"/>
        </w:rPr>
        <w:t>n</w:t>
      </w:r>
      <w:r w:rsidR="00130C7A" w:rsidRPr="00130C7A">
        <w:rPr>
          <w:lang w:val="fr-FR"/>
        </w:rPr>
        <w:t>’</w:t>
      </w:r>
      <w:r w:rsidR="00E77CB3" w:rsidRPr="00130C7A">
        <w:rPr>
          <w:lang w:val="fr-FR"/>
        </w:rPr>
        <w:t xml:space="preserve">y a </w:t>
      </w:r>
      <w:r w:rsidR="00F66CB5" w:rsidRPr="00130C7A">
        <w:rPr>
          <w:lang w:val="fr-FR"/>
        </w:rPr>
        <w:t xml:space="preserve">pas </w:t>
      </w:r>
      <w:r w:rsidR="00E77CB3" w:rsidRPr="00130C7A">
        <w:rPr>
          <w:lang w:val="fr-FR"/>
        </w:rPr>
        <w:t>eu violation de l</w:t>
      </w:r>
      <w:r w:rsidR="00130C7A" w:rsidRPr="00130C7A">
        <w:rPr>
          <w:lang w:val="fr-FR"/>
        </w:rPr>
        <w:t>’</w:t>
      </w:r>
      <w:r w:rsidR="00E77CB3" w:rsidRPr="00130C7A">
        <w:rPr>
          <w:lang w:val="fr-FR"/>
        </w:rPr>
        <w:t xml:space="preserve">article </w:t>
      </w:r>
      <w:r w:rsidR="00F66CB5" w:rsidRPr="00130C7A">
        <w:rPr>
          <w:lang w:val="fr-FR"/>
        </w:rPr>
        <w:t>2</w:t>
      </w:r>
      <w:r w:rsidR="00E77CB3" w:rsidRPr="00130C7A">
        <w:rPr>
          <w:lang w:val="fr-FR"/>
        </w:rPr>
        <w:t xml:space="preserve"> de la Convention</w:t>
      </w:r>
      <w:r w:rsidR="00EC4DBB" w:rsidRPr="00130C7A">
        <w:rPr>
          <w:lang w:val="fr-FR"/>
        </w:rPr>
        <w:t xml:space="preserve"> </w:t>
      </w:r>
      <w:r w:rsidR="00964CE9" w:rsidRPr="00130C7A">
        <w:rPr>
          <w:lang w:val="fr-FR"/>
        </w:rPr>
        <w:t>sous</w:t>
      </w:r>
      <w:r w:rsidR="00EC4DBB" w:rsidRPr="00130C7A">
        <w:rPr>
          <w:lang w:val="fr-FR"/>
        </w:rPr>
        <w:t xml:space="preserve"> son volet substantiel </w:t>
      </w:r>
      <w:r w:rsidR="00E77CB3" w:rsidRPr="00130C7A">
        <w:rPr>
          <w:lang w:val="fr-FR"/>
        </w:rPr>
        <w:t>;</w:t>
      </w:r>
    </w:p>
    <w:p w:rsidR="00E77CB3" w:rsidRPr="00130C7A" w:rsidRDefault="00E77CB3" w:rsidP="00130C7A">
      <w:pPr>
        <w:pStyle w:val="JuList"/>
        <w:rPr>
          <w:lang w:val="fr-FR"/>
        </w:rPr>
      </w:pPr>
    </w:p>
    <w:p w:rsidR="00E77CB3" w:rsidRPr="00130C7A" w:rsidRDefault="00EC4DBB" w:rsidP="00130C7A">
      <w:pPr>
        <w:pStyle w:val="JuList"/>
        <w:rPr>
          <w:lang w:val="fr-FR"/>
        </w:rPr>
      </w:pPr>
      <w:r w:rsidRPr="00130C7A">
        <w:rPr>
          <w:lang w:val="fr-FR"/>
        </w:rPr>
        <w:t>4</w:t>
      </w:r>
      <w:r w:rsidR="00E77CB3" w:rsidRPr="00130C7A">
        <w:rPr>
          <w:lang w:val="fr-FR"/>
        </w:rPr>
        <w:t>.  </w:t>
      </w:r>
      <w:r w:rsidR="00E77CB3" w:rsidRPr="00130C7A">
        <w:rPr>
          <w:i/>
          <w:lang w:val="fr-FR"/>
        </w:rPr>
        <w:t>Dit</w:t>
      </w:r>
      <w:r w:rsidR="00F71371" w:rsidRPr="00130C7A">
        <w:rPr>
          <w:lang w:val="fr-FR"/>
        </w:rPr>
        <w:t>, à l</w:t>
      </w:r>
      <w:r w:rsidR="00130C7A" w:rsidRPr="00130C7A">
        <w:rPr>
          <w:lang w:val="fr-FR"/>
        </w:rPr>
        <w:t>’</w:t>
      </w:r>
      <w:r w:rsidR="00F71371" w:rsidRPr="00130C7A">
        <w:rPr>
          <w:lang w:val="fr-FR"/>
        </w:rPr>
        <w:t xml:space="preserve">unanimité, </w:t>
      </w:r>
      <w:r w:rsidR="00E77CB3" w:rsidRPr="00130C7A">
        <w:rPr>
          <w:lang w:val="fr-FR"/>
        </w:rPr>
        <w:t>qu</w:t>
      </w:r>
      <w:r w:rsidR="00130C7A" w:rsidRPr="00130C7A">
        <w:rPr>
          <w:lang w:val="fr-FR"/>
        </w:rPr>
        <w:t>’</w:t>
      </w:r>
      <w:r w:rsidR="00E77CB3" w:rsidRPr="00130C7A">
        <w:rPr>
          <w:lang w:val="fr-FR"/>
        </w:rPr>
        <w:t xml:space="preserve">il </w:t>
      </w:r>
      <w:r w:rsidRPr="00130C7A">
        <w:rPr>
          <w:lang w:val="fr-FR"/>
        </w:rPr>
        <w:t>n</w:t>
      </w:r>
      <w:r w:rsidR="00130C7A" w:rsidRPr="00130C7A">
        <w:rPr>
          <w:lang w:val="fr-FR"/>
        </w:rPr>
        <w:t>’</w:t>
      </w:r>
      <w:r w:rsidR="00E77CB3" w:rsidRPr="00130C7A">
        <w:rPr>
          <w:lang w:val="fr-FR"/>
        </w:rPr>
        <w:t>y a</w:t>
      </w:r>
      <w:r w:rsidRPr="00130C7A">
        <w:rPr>
          <w:lang w:val="fr-FR"/>
        </w:rPr>
        <w:t xml:space="preserve"> pas</w:t>
      </w:r>
      <w:r w:rsidR="00E77CB3" w:rsidRPr="00130C7A">
        <w:rPr>
          <w:lang w:val="fr-FR"/>
        </w:rPr>
        <w:t xml:space="preserve"> eu violation de l</w:t>
      </w:r>
      <w:r w:rsidR="00130C7A" w:rsidRPr="00130C7A">
        <w:rPr>
          <w:lang w:val="fr-FR"/>
        </w:rPr>
        <w:t>’</w:t>
      </w:r>
      <w:r w:rsidR="00E77CB3" w:rsidRPr="00130C7A">
        <w:rPr>
          <w:lang w:val="fr-FR"/>
        </w:rPr>
        <w:t xml:space="preserve">article </w:t>
      </w:r>
      <w:r w:rsidRPr="00130C7A">
        <w:rPr>
          <w:lang w:val="fr-FR"/>
        </w:rPr>
        <w:t>2</w:t>
      </w:r>
      <w:r w:rsidR="00E77CB3" w:rsidRPr="00130C7A">
        <w:rPr>
          <w:lang w:val="fr-FR"/>
        </w:rPr>
        <w:t xml:space="preserve"> de la Convention</w:t>
      </w:r>
      <w:r w:rsidRPr="00130C7A">
        <w:rPr>
          <w:lang w:val="fr-FR"/>
        </w:rPr>
        <w:t xml:space="preserve"> </w:t>
      </w:r>
      <w:r w:rsidR="00964CE9" w:rsidRPr="00130C7A">
        <w:rPr>
          <w:lang w:val="fr-FR"/>
        </w:rPr>
        <w:t>sous</w:t>
      </w:r>
      <w:r w:rsidRPr="00130C7A">
        <w:rPr>
          <w:lang w:val="fr-FR"/>
        </w:rPr>
        <w:t xml:space="preserve"> son volet procédural.</w:t>
      </w:r>
    </w:p>
    <w:bookmarkEnd w:id="1"/>
    <w:p w:rsidR="00E77CB3" w:rsidRPr="00130C7A" w:rsidRDefault="00E77CB3" w:rsidP="00130C7A">
      <w:pPr>
        <w:pStyle w:val="JuParaLast"/>
        <w:keepNext w:val="0"/>
        <w:keepLines w:val="0"/>
        <w:rPr>
          <w:lang w:val="fr-FR"/>
        </w:rPr>
      </w:pPr>
      <w:r w:rsidRPr="00130C7A">
        <w:rPr>
          <w:lang w:val="fr-FR"/>
        </w:rPr>
        <w:lastRenderedPageBreak/>
        <w:t>Fait en français, puis communiqué par écrit le</w:t>
      </w:r>
      <w:r w:rsidR="002B2E59" w:rsidRPr="00130C7A">
        <w:rPr>
          <w:lang w:val="fr-FR"/>
        </w:rPr>
        <w:t xml:space="preserve"> </w:t>
      </w:r>
      <w:r w:rsidR="00412C5A" w:rsidRPr="00130C7A">
        <w:rPr>
          <w:lang w:val="fr-FR"/>
        </w:rPr>
        <w:t>1</w:t>
      </w:r>
      <w:r w:rsidR="002B2E59" w:rsidRPr="00130C7A">
        <w:rPr>
          <w:lang w:val="fr-FR"/>
        </w:rPr>
        <w:t>9</w:t>
      </w:r>
      <w:r w:rsidR="00412C5A" w:rsidRPr="00130C7A">
        <w:rPr>
          <w:lang w:val="fr-FR"/>
        </w:rPr>
        <w:t xml:space="preserve"> mars 2020</w:t>
      </w:r>
      <w:r w:rsidRPr="00130C7A">
        <w:rPr>
          <w:lang w:val="fr-FR"/>
        </w:rPr>
        <w:t>, en application de l</w:t>
      </w:r>
      <w:r w:rsidR="00130C7A" w:rsidRPr="00130C7A">
        <w:rPr>
          <w:lang w:val="fr-FR"/>
        </w:rPr>
        <w:t>’</w:t>
      </w:r>
      <w:r w:rsidRPr="00130C7A">
        <w:rPr>
          <w:lang w:val="fr-FR"/>
        </w:rPr>
        <w:t>article 77 §§ 2 et 3 du règlement</w:t>
      </w:r>
      <w:r w:rsidR="00AC0824" w:rsidRPr="00130C7A">
        <w:rPr>
          <w:lang w:val="fr-FR"/>
        </w:rPr>
        <w:t xml:space="preserve"> de la Cour</w:t>
      </w:r>
      <w:r w:rsidRPr="00130C7A">
        <w:rPr>
          <w:lang w:val="fr-FR"/>
        </w:rPr>
        <w:t>.</w:t>
      </w:r>
    </w:p>
    <w:p w:rsidR="00E64018" w:rsidRPr="00130C7A" w:rsidRDefault="00F71371" w:rsidP="00130C7A">
      <w:pPr>
        <w:pStyle w:val="JuSigned"/>
        <w:tabs>
          <w:tab w:val="clear" w:pos="6407"/>
          <w:tab w:val="center" w:pos="6096"/>
        </w:tabs>
        <w:rPr>
          <w:lang w:val="fr-FR"/>
        </w:rPr>
      </w:pPr>
      <w:r w:rsidRPr="00130C7A">
        <w:rPr>
          <w:lang w:val="fr-FR"/>
        </w:rPr>
        <w:tab/>
        <w:t>Abel Campos</w:t>
      </w:r>
      <w:r w:rsidR="00E77CB3" w:rsidRPr="00130C7A">
        <w:rPr>
          <w:lang w:val="fr-FR"/>
        </w:rPr>
        <w:tab/>
      </w:r>
      <w:proofErr w:type="spellStart"/>
      <w:r w:rsidR="00127BEE" w:rsidRPr="00130C7A">
        <w:rPr>
          <w:lang w:val="fr-FR"/>
        </w:rPr>
        <w:t>Ksenija</w:t>
      </w:r>
      <w:proofErr w:type="spellEnd"/>
      <w:r w:rsidR="00127BEE" w:rsidRPr="00130C7A">
        <w:rPr>
          <w:lang w:val="fr-FR"/>
        </w:rPr>
        <w:t xml:space="preserve"> </w:t>
      </w:r>
      <w:proofErr w:type="spellStart"/>
      <w:r w:rsidR="00127BEE" w:rsidRPr="00130C7A">
        <w:rPr>
          <w:lang w:val="fr-FR"/>
        </w:rPr>
        <w:t>Turkovi</w:t>
      </w:r>
      <w:r w:rsidR="001C3325" w:rsidRPr="00130C7A">
        <w:rPr>
          <w:rFonts w:cstheme="minorHAnsi"/>
          <w:lang w:val="fr-FR"/>
        </w:rPr>
        <w:t>ć</w:t>
      </w:r>
      <w:proofErr w:type="spellEnd"/>
      <w:r w:rsidR="00E77CB3" w:rsidRPr="00130C7A">
        <w:rPr>
          <w:lang w:val="fr-FR"/>
        </w:rPr>
        <w:br/>
      </w:r>
      <w:r w:rsidR="00E77CB3" w:rsidRPr="00130C7A">
        <w:rPr>
          <w:lang w:val="fr-FR"/>
        </w:rPr>
        <w:tab/>
      </w:r>
      <w:r w:rsidRPr="00130C7A">
        <w:rPr>
          <w:lang w:val="fr-FR"/>
        </w:rPr>
        <w:t>Greffier</w:t>
      </w:r>
      <w:r w:rsidR="00E77CB3" w:rsidRPr="00130C7A">
        <w:rPr>
          <w:lang w:val="fr-FR"/>
        </w:rPr>
        <w:tab/>
      </w:r>
      <w:r w:rsidRPr="00130C7A">
        <w:rPr>
          <w:lang w:val="fr-FR"/>
        </w:rPr>
        <w:t>Président</w:t>
      </w:r>
      <w:r w:rsidR="00127BEE" w:rsidRPr="00130C7A">
        <w:rPr>
          <w:lang w:val="fr-FR"/>
        </w:rPr>
        <w:t>e</w:t>
      </w:r>
    </w:p>
    <w:sectPr w:rsidR="00E64018" w:rsidRPr="00130C7A" w:rsidSect="00731188">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02" w:rsidRPr="001C3AE1" w:rsidRDefault="00E50202" w:rsidP="00E77CB3">
      <w:pPr>
        <w:rPr>
          <w:lang w:val="fr-FR"/>
        </w:rPr>
      </w:pPr>
      <w:r w:rsidRPr="001C3AE1">
        <w:rPr>
          <w:lang w:val="fr-FR"/>
        </w:rPr>
        <w:separator/>
      </w:r>
    </w:p>
  </w:endnote>
  <w:endnote w:type="continuationSeparator" w:id="0">
    <w:p w:rsidR="00E50202" w:rsidRPr="001C3AE1" w:rsidRDefault="00E50202" w:rsidP="00E77CB3">
      <w:pPr>
        <w:rPr>
          <w:lang w:val="fr-FR"/>
        </w:rPr>
      </w:pPr>
      <w:r w:rsidRPr="001C3AE1">
        <w:rPr>
          <w:lang w:val="fr-FR"/>
        </w:rPr>
        <w:continuationSeparator/>
      </w:r>
    </w:p>
  </w:endnote>
  <w:endnote w:type="continuationNotice" w:id="1">
    <w:p w:rsidR="00E50202" w:rsidRDefault="00E50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39" w:rsidRPr="00150BFA" w:rsidRDefault="00195C39" w:rsidP="0020718E">
    <w:pPr>
      <w:jc w:val="center"/>
    </w:pPr>
    <w:r>
      <w:rPr>
        <w:noProof/>
        <w:lang w:val="it-IT" w:eastAsia="it-IT"/>
      </w:rPr>
      <w:drawing>
        <wp:inline distT="0" distB="0" distL="0" distR="0" wp14:anchorId="1A36BBE3" wp14:editId="40D2B50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95C39" w:rsidRDefault="00195C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02" w:rsidRPr="001C3AE1" w:rsidRDefault="00E50202" w:rsidP="00E77CB3">
      <w:pPr>
        <w:rPr>
          <w:lang w:val="fr-FR"/>
        </w:rPr>
      </w:pPr>
      <w:r w:rsidRPr="001C3AE1">
        <w:rPr>
          <w:lang w:val="fr-FR"/>
        </w:rPr>
        <w:separator/>
      </w:r>
    </w:p>
  </w:footnote>
  <w:footnote w:type="continuationSeparator" w:id="0">
    <w:p w:rsidR="00E50202" w:rsidRPr="001C3AE1" w:rsidRDefault="00E50202" w:rsidP="00E77CB3">
      <w:pPr>
        <w:rPr>
          <w:lang w:val="fr-FR"/>
        </w:rPr>
      </w:pPr>
      <w:r w:rsidRPr="001C3AE1">
        <w:rPr>
          <w:lang w:val="fr-FR"/>
        </w:rPr>
        <w:continuationSeparator/>
      </w:r>
    </w:p>
  </w:footnote>
  <w:footnote w:type="continuationNotice" w:id="1">
    <w:p w:rsidR="00E50202" w:rsidRDefault="00E502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02" w:rsidRPr="00195C39" w:rsidRDefault="00E50202" w:rsidP="00195C39">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5B" w:rsidRDefault="00195C39" w:rsidP="00DA431F">
    <w:pPr>
      <w:jc w:val="center"/>
    </w:pPr>
    <w:r>
      <w:rPr>
        <w:noProof/>
        <w:lang w:val="it-IT" w:eastAsia="it-IT"/>
      </w:rPr>
      <w:drawing>
        <wp:inline distT="0" distB="0" distL="0" distR="0" wp14:anchorId="5754995D" wp14:editId="638C58C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39" w:rsidRPr="00F71371" w:rsidRDefault="00195C39" w:rsidP="000109E5">
    <w:pPr>
      <w:pStyle w:val="ECHRHeader"/>
      <w:tabs>
        <w:tab w:val="center" w:pos="3402"/>
      </w:tabs>
      <w:jc w:val="left"/>
      <w:rPr>
        <w:lang w:val="fr-FR"/>
      </w:rPr>
    </w:pPr>
    <w:r>
      <w:rPr>
        <w:rStyle w:val="Numeropagina"/>
        <w:lang w:val="en-US"/>
      </w:rPr>
      <w:fldChar w:fldCharType="begin"/>
    </w:r>
    <w:r w:rsidRPr="00F71371">
      <w:rPr>
        <w:rStyle w:val="Numeropagina"/>
        <w:lang w:val="fr-FR"/>
      </w:rPr>
      <w:instrText xml:space="preserve"> PAGE </w:instrText>
    </w:r>
    <w:r>
      <w:rPr>
        <w:rStyle w:val="Numeropagina"/>
        <w:lang w:val="en-US"/>
      </w:rPr>
      <w:fldChar w:fldCharType="separate"/>
    </w:r>
    <w:r w:rsidR="00235B7E">
      <w:rPr>
        <w:rStyle w:val="Numeropagina"/>
        <w:noProof/>
        <w:lang w:val="fr-FR"/>
      </w:rPr>
      <w:t>20</w:t>
    </w:r>
    <w:r>
      <w:rPr>
        <w:rStyle w:val="Numeropagina"/>
        <w:lang w:val="en-US"/>
      </w:rPr>
      <w:fldChar w:fldCharType="end"/>
    </w:r>
    <w:r w:rsidRPr="00F71371">
      <w:rPr>
        <w:rStyle w:val="Numeropagina"/>
        <w:lang w:val="fr-FR"/>
      </w:rPr>
      <w:tab/>
    </w:r>
    <w:r w:rsidRPr="00F71371">
      <w:rPr>
        <w:lang w:val="fr-FR"/>
      </w:rPr>
      <w:t>FABRIS ET PARZIALE c. ITALIE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C39" w:rsidRPr="001C3AE1" w:rsidRDefault="000109E5" w:rsidP="000109E5">
    <w:pPr>
      <w:pStyle w:val="ECHRHeader"/>
      <w:tabs>
        <w:tab w:val="center" w:pos="3686"/>
        <w:tab w:val="right" w:pos="7371"/>
      </w:tabs>
      <w:rPr>
        <w:lang w:val="fr-FR"/>
      </w:rPr>
    </w:pPr>
    <w:r>
      <w:rPr>
        <w:lang w:val="fr-FR"/>
      </w:rPr>
      <w:tab/>
    </w:r>
    <w:r w:rsidR="00195C39" w:rsidRPr="00F71371">
      <w:rPr>
        <w:lang w:val="fr-FR"/>
      </w:rPr>
      <w:t>FABRIS ET PARZIALE c. ITALIE</w:t>
    </w:r>
    <w:r>
      <w:rPr>
        <w:lang w:val="fr-FR"/>
      </w:rPr>
      <w:tab/>
    </w:r>
    <w:r w:rsidR="00195C39">
      <w:rPr>
        <w:rStyle w:val="Numeropagina"/>
        <w:lang w:val="fr-FR"/>
      </w:rPr>
      <w:fldChar w:fldCharType="begin"/>
    </w:r>
    <w:r w:rsidR="00195C39">
      <w:rPr>
        <w:rStyle w:val="Numeropagina"/>
        <w:lang w:val="fr-FR"/>
      </w:rPr>
      <w:instrText xml:space="preserve"> PAGE </w:instrText>
    </w:r>
    <w:r w:rsidR="00195C39">
      <w:rPr>
        <w:rStyle w:val="Numeropagina"/>
        <w:lang w:val="fr-FR"/>
      </w:rPr>
      <w:fldChar w:fldCharType="separate"/>
    </w:r>
    <w:r w:rsidR="00235B7E">
      <w:rPr>
        <w:rStyle w:val="Numeropagina"/>
        <w:noProof/>
        <w:lang w:val="fr-FR"/>
      </w:rPr>
      <w:t>19</w:t>
    </w:r>
    <w:r w:rsidR="00195C39">
      <w:rPr>
        <w:rStyle w:val="Numeropagina"/>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F71371"/>
    <w:rsid w:val="000020A0"/>
    <w:rsid w:val="00002669"/>
    <w:rsid w:val="00003097"/>
    <w:rsid w:val="000037FC"/>
    <w:rsid w:val="00003A95"/>
    <w:rsid w:val="000041F8"/>
    <w:rsid w:val="000042A8"/>
    <w:rsid w:val="00004308"/>
    <w:rsid w:val="0000556C"/>
    <w:rsid w:val="00005BF0"/>
    <w:rsid w:val="00006E68"/>
    <w:rsid w:val="00007154"/>
    <w:rsid w:val="000103AE"/>
    <w:rsid w:val="000105BD"/>
    <w:rsid w:val="000109E5"/>
    <w:rsid w:val="00011BF5"/>
    <w:rsid w:val="00011D69"/>
    <w:rsid w:val="0001207D"/>
    <w:rsid w:val="00012AD3"/>
    <w:rsid w:val="00012C4F"/>
    <w:rsid w:val="00015C2D"/>
    <w:rsid w:val="00015F00"/>
    <w:rsid w:val="000161AA"/>
    <w:rsid w:val="00016811"/>
    <w:rsid w:val="00016BD4"/>
    <w:rsid w:val="00017252"/>
    <w:rsid w:val="00021B59"/>
    <w:rsid w:val="00022677"/>
    <w:rsid w:val="00022C1D"/>
    <w:rsid w:val="00022E9B"/>
    <w:rsid w:val="00024C6E"/>
    <w:rsid w:val="00025879"/>
    <w:rsid w:val="0002620A"/>
    <w:rsid w:val="00030309"/>
    <w:rsid w:val="00031347"/>
    <w:rsid w:val="00032A0C"/>
    <w:rsid w:val="00034987"/>
    <w:rsid w:val="00035334"/>
    <w:rsid w:val="00035C4C"/>
    <w:rsid w:val="0004085C"/>
    <w:rsid w:val="000409F5"/>
    <w:rsid w:val="00040C19"/>
    <w:rsid w:val="00041814"/>
    <w:rsid w:val="00043A74"/>
    <w:rsid w:val="000442C0"/>
    <w:rsid w:val="000445B5"/>
    <w:rsid w:val="0004474E"/>
    <w:rsid w:val="0004497A"/>
    <w:rsid w:val="0004628C"/>
    <w:rsid w:val="0005028E"/>
    <w:rsid w:val="00050933"/>
    <w:rsid w:val="00050947"/>
    <w:rsid w:val="00051A85"/>
    <w:rsid w:val="00052150"/>
    <w:rsid w:val="00052C45"/>
    <w:rsid w:val="0005375E"/>
    <w:rsid w:val="00054F5A"/>
    <w:rsid w:val="00056A2F"/>
    <w:rsid w:val="000602DF"/>
    <w:rsid w:val="00060790"/>
    <w:rsid w:val="000609D0"/>
    <w:rsid w:val="00060E45"/>
    <w:rsid w:val="00061B05"/>
    <w:rsid w:val="000632D5"/>
    <w:rsid w:val="000644EE"/>
    <w:rsid w:val="00066A71"/>
    <w:rsid w:val="00066DB8"/>
    <w:rsid w:val="00072BC4"/>
    <w:rsid w:val="00072C0B"/>
    <w:rsid w:val="00073793"/>
    <w:rsid w:val="00073CEB"/>
    <w:rsid w:val="0007456D"/>
    <w:rsid w:val="000746D0"/>
    <w:rsid w:val="00076332"/>
    <w:rsid w:val="000763CA"/>
    <w:rsid w:val="0007682E"/>
    <w:rsid w:val="00077095"/>
    <w:rsid w:val="0007721E"/>
    <w:rsid w:val="00077F7D"/>
    <w:rsid w:val="000805D5"/>
    <w:rsid w:val="000823CF"/>
    <w:rsid w:val="00083B34"/>
    <w:rsid w:val="00084F69"/>
    <w:rsid w:val="00085757"/>
    <w:rsid w:val="00086737"/>
    <w:rsid w:val="00087618"/>
    <w:rsid w:val="000877F4"/>
    <w:rsid w:val="00090058"/>
    <w:rsid w:val="0009038C"/>
    <w:rsid w:val="000925AD"/>
    <w:rsid w:val="000932F0"/>
    <w:rsid w:val="000935D9"/>
    <w:rsid w:val="00096490"/>
    <w:rsid w:val="00096757"/>
    <w:rsid w:val="00097B28"/>
    <w:rsid w:val="000A1759"/>
    <w:rsid w:val="000A24EB"/>
    <w:rsid w:val="000A4664"/>
    <w:rsid w:val="000A5B36"/>
    <w:rsid w:val="000A5C8E"/>
    <w:rsid w:val="000A5E51"/>
    <w:rsid w:val="000A7AB5"/>
    <w:rsid w:val="000B303A"/>
    <w:rsid w:val="000B49A8"/>
    <w:rsid w:val="000B4C9C"/>
    <w:rsid w:val="000B6923"/>
    <w:rsid w:val="000B7143"/>
    <w:rsid w:val="000C1121"/>
    <w:rsid w:val="000C241D"/>
    <w:rsid w:val="000C298A"/>
    <w:rsid w:val="000C2B43"/>
    <w:rsid w:val="000C5F3C"/>
    <w:rsid w:val="000C5F93"/>
    <w:rsid w:val="000C6DCC"/>
    <w:rsid w:val="000C7FEE"/>
    <w:rsid w:val="000D051B"/>
    <w:rsid w:val="000D13E5"/>
    <w:rsid w:val="000D1407"/>
    <w:rsid w:val="000D1B0A"/>
    <w:rsid w:val="000D1FFE"/>
    <w:rsid w:val="000D2094"/>
    <w:rsid w:val="000D44CE"/>
    <w:rsid w:val="000D47AA"/>
    <w:rsid w:val="000D6CF6"/>
    <w:rsid w:val="000D704D"/>
    <w:rsid w:val="000D7146"/>
    <w:rsid w:val="000D721F"/>
    <w:rsid w:val="000D7CE1"/>
    <w:rsid w:val="000E069B"/>
    <w:rsid w:val="000E0E82"/>
    <w:rsid w:val="000E1DC5"/>
    <w:rsid w:val="000E2208"/>
    <w:rsid w:val="000E223F"/>
    <w:rsid w:val="000E2B64"/>
    <w:rsid w:val="000E32ED"/>
    <w:rsid w:val="000E5A6B"/>
    <w:rsid w:val="000E6CBE"/>
    <w:rsid w:val="000E7D45"/>
    <w:rsid w:val="000F00EF"/>
    <w:rsid w:val="000F19E0"/>
    <w:rsid w:val="000F5092"/>
    <w:rsid w:val="000F7851"/>
    <w:rsid w:val="000F7890"/>
    <w:rsid w:val="001017B9"/>
    <w:rsid w:val="00102B91"/>
    <w:rsid w:val="00103180"/>
    <w:rsid w:val="00104E23"/>
    <w:rsid w:val="00106EEC"/>
    <w:rsid w:val="001100EC"/>
    <w:rsid w:val="0011133E"/>
    <w:rsid w:val="001114FF"/>
    <w:rsid w:val="00111B0C"/>
    <w:rsid w:val="00112694"/>
    <w:rsid w:val="00112F0A"/>
    <w:rsid w:val="00116322"/>
    <w:rsid w:val="00116DC2"/>
    <w:rsid w:val="0011741A"/>
    <w:rsid w:val="00120D6C"/>
    <w:rsid w:val="00121334"/>
    <w:rsid w:val="001257EC"/>
    <w:rsid w:val="00125B8A"/>
    <w:rsid w:val="00127BEE"/>
    <w:rsid w:val="00127EC7"/>
    <w:rsid w:val="00130C7A"/>
    <w:rsid w:val="00131058"/>
    <w:rsid w:val="00131C21"/>
    <w:rsid w:val="00131EE5"/>
    <w:rsid w:val="00132695"/>
    <w:rsid w:val="00133D33"/>
    <w:rsid w:val="001343F7"/>
    <w:rsid w:val="00134D64"/>
    <w:rsid w:val="001355E4"/>
    <w:rsid w:val="00135A30"/>
    <w:rsid w:val="001360A7"/>
    <w:rsid w:val="0013612C"/>
    <w:rsid w:val="00136D77"/>
    <w:rsid w:val="00137FF6"/>
    <w:rsid w:val="0014139C"/>
    <w:rsid w:val="00141650"/>
    <w:rsid w:val="00141CFC"/>
    <w:rsid w:val="001446CB"/>
    <w:rsid w:val="001447F0"/>
    <w:rsid w:val="00146E7A"/>
    <w:rsid w:val="00146F72"/>
    <w:rsid w:val="00147804"/>
    <w:rsid w:val="00147D8D"/>
    <w:rsid w:val="00151036"/>
    <w:rsid w:val="001516A3"/>
    <w:rsid w:val="00151ED7"/>
    <w:rsid w:val="00151F0B"/>
    <w:rsid w:val="0015200D"/>
    <w:rsid w:val="0015229F"/>
    <w:rsid w:val="0015279D"/>
    <w:rsid w:val="00154179"/>
    <w:rsid w:val="001552F6"/>
    <w:rsid w:val="0016174F"/>
    <w:rsid w:val="001619D7"/>
    <w:rsid w:val="00161D6F"/>
    <w:rsid w:val="00162A12"/>
    <w:rsid w:val="00163CB4"/>
    <w:rsid w:val="00164C98"/>
    <w:rsid w:val="00164E9D"/>
    <w:rsid w:val="0016566A"/>
    <w:rsid w:val="00166530"/>
    <w:rsid w:val="00167F05"/>
    <w:rsid w:val="00170882"/>
    <w:rsid w:val="00171061"/>
    <w:rsid w:val="00174A18"/>
    <w:rsid w:val="001751F5"/>
    <w:rsid w:val="001751F6"/>
    <w:rsid w:val="00181184"/>
    <w:rsid w:val="001832BD"/>
    <w:rsid w:val="001902A5"/>
    <w:rsid w:val="00190C3B"/>
    <w:rsid w:val="001921A0"/>
    <w:rsid w:val="00192748"/>
    <w:rsid w:val="00192B0A"/>
    <w:rsid w:val="001943B5"/>
    <w:rsid w:val="00195134"/>
    <w:rsid w:val="00195427"/>
    <w:rsid w:val="00195930"/>
    <w:rsid w:val="00195B32"/>
    <w:rsid w:val="00195C39"/>
    <w:rsid w:val="0019607A"/>
    <w:rsid w:val="00196CED"/>
    <w:rsid w:val="00197E0C"/>
    <w:rsid w:val="001A145B"/>
    <w:rsid w:val="001A1561"/>
    <w:rsid w:val="001A1787"/>
    <w:rsid w:val="001A1ED5"/>
    <w:rsid w:val="001A3EF2"/>
    <w:rsid w:val="001A4124"/>
    <w:rsid w:val="001A5611"/>
    <w:rsid w:val="001A61C2"/>
    <w:rsid w:val="001A674C"/>
    <w:rsid w:val="001A7D11"/>
    <w:rsid w:val="001B1873"/>
    <w:rsid w:val="001B1C6D"/>
    <w:rsid w:val="001B3675"/>
    <w:rsid w:val="001B3B24"/>
    <w:rsid w:val="001B3C38"/>
    <w:rsid w:val="001B4F8B"/>
    <w:rsid w:val="001B7449"/>
    <w:rsid w:val="001B7851"/>
    <w:rsid w:val="001B79F3"/>
    <w:rsid w:val="001B7FB1"/>
    <w:rsid w:val="001C0F98"/>
    <w:rsid w:val="001C110A"/>
    <w:rsid w:val="001C1923"/>
    <w:rsid w:val="001C278C"/>
    <w:rsid w:val="001C2A42"/>
    <w:rsid w:val="001C3325"/>
    <w:rsid w:val="001C3531"/>
    <w:rsid w:val="001C3AE1"/>
    <w:rsid w:val="001C41FA"/>
    <w:rsid w:val="001C49EB"/>
    <w:rsid w:val="001C4F6F"/>
    <w:rsid w:val="001C549F"/>
    <w:rsid w:val="001C5FD4"/>
    <w:rsid w:val="001C7B14"/>
    <w:rsid w:val="001D2C60"/>
    <w:rsid w:val="001D4CF8"/>
    <w:rsid w:val="001D6167"/>
    <w:rsid w:val="001D63ED"/>
    <w:rsid w:val="001D7348"/>
    <w:rsid w:val="001D7D5A"/>
    <w:rsid w:val="001E0028"/>
    <w:rsid w:val="001E035B"/>
    <w:rsid w:val="001E0961"/>
    <w:rsid w:val="001E0B6D"/>
    <w:rsid w:val="001E18AA"/>
    <w:rsid w:val="001E25D2"/>
    <w:rsid w:val="001E3EAE"/>
    <w:rsid w:val="001E5797"/>
    <w:rsid w:val="001E6D46"/>
    <w:rsid w:val="001E6F32"/>
    <w:rsid w:val="001E7D72"/>
    <w:rsid w:val="001F2145"/>
    <w:rsid w:val="001F28E4"/>
    <w:rsid w:val="001F3BB4"/>
    <w:rsid w:val="001F466B"/>
    <w:rsid w:val="001F4E43"/>
    <w:rsid w:val="001F6262"/>
    <w:rsid w:val="001F67B0"/>
    <w:rsid w:val="001F6F11"/>
    <w:rsid w:val="001F7B3D"/>
    <w:rsid w:val="002001F4"/>
    <w:rsid w:val="0020051A"/>
    <w:rsid w:val="0020111A"/>
    <w:rsid w:val="00202EF7"/>
    <w:rsid w:val="00202FE4"/>
    <w:rsid w:val="00203B8B"/>
    <w:rsid w:val="00205F9F"/>
    <w:rsid w:val="002074AB"/>
    <w:rsid w:val="00210326"/>
    <w:rsid w:val="00210338"/>
    <w:rsid w:val="00210951"/>
    <w:rsid w:val="002115FC"/>
    <w:rsid w:val="00212E9E"/>
    <w:rsid w:val="00213A89"/>
    <w:rsid w:val="0021423C"/>
    <w:rsid w:val="00216579"/>
    <w:rsid w:val="00216A0F"/>
    <w:rsid w:val="00216C53"/>
    <w:rsid w:val="00217B7E"/>
    <w:rsid w:val="00220859"/>
    <w:rsid w:val="00221BEE"/>
    <w:rsid w:val="002226F5"/>
    <w:rsid w:val="00227DDA"/>
    <w:rsid w:val="00230D00"/>
    <w:rsid w:val="00231DF7"/>
    <w:rsid w:val="00231FD1"/>
    <w:rsid w:val="002339E0"/>
    <w:rsid w:val="00233C3E"/>
    <w:rsid w:val="00233CF8"/>
    <w:rsid w:val="0023446A"/>
    <w:rsid w:val="00234D9C"/>
    <w:rsid w:val="0023575D"/>
    <w:rsid w:val="00235B7E"/>
    <w:rsid w:val="002362A1"/>
    <w:rsid w:val="00237148"/>
    <w:rsid w:val="00237287"/>
    <w:rsid w:val="002378F3"/>
    <w:rsid w:val="00237951"/>
    <w:rsid w:val="00240AC9"/>
    <w:rsid w:val="00241B98"/>
    <w:rsid w:val="00241D13"/>
    <w:rsid w:val="0024222D"/>
    <w:rsid w:val="002425C6"/>
    <w:rsid w:val="00243432"/>
    <w:rsid w:val="00243833"/>
    <w:rsid w:val="00244B0E"/>
    <w:rsid w:val="00244F6C"/>
    <w:rsid w:val="0024561B"/>
    <w:rsid w:val="002458B4"/>
    <w:rsid w:val="00245BE0"/>
    <w:rsid w:val="00245C34"/>
    <w:rsid w:val="00246ABB"/>
    <w:rsid w:val="00246F9E"/>
    <w:rsid w:val="002470AB"/>
    <w:rsid w:val="00247CC4"/>
    <w:rsid w:val="00247E2A"/>
    <w:rsid w:val="002508DB"/>
    <w:rsid w:val="002522BB"/>
    <w:rsid w:val="00253294"/>
    <w:rsid w:val="002532C5"/>
    <w:rsid w:val="002545C7"/>
    <w:rsid w:val="002552D9"/>
    <w:rsid w:val="0026021E"/>
    <w:rsid w:val="00260C03"/>
    <w:rsid w:val="0026288F"/>
    <w:rsid w:val="00263A8E"/>
    <w:rsid w:val="0026540E"/>
    <w:rsid w:val="002669F4"/>
    <w:rsid w:val="00270574"/>
    <w:rsid w:val="002710E7"/>
    <w:rsid w:val="00273FF8"/>
    <w:rsid w:val="00275123"/>
    <w:rsid w:val="00276031"/>
    <w:rsid w:val="00276970"/>
    <w:rsid w:val="0028169C"/>
    <w:rsid w:val="00281884"/>
    <w:rsid w:val="00281FE2"/>
    <w:rsid w:val="00282240"/>
    <w:rsid w:val="00282BB1"/>
    <w:rsid w:val="00282C55"/>
    <w:rsid w:val="00282C91"/>
    <w:rsid w:val="00282E85"/>
    <w:rsid w:val="00285331"/>
    <w:rsid w:val="00285C80"/>
    <w:rsid w:val="002908F2"/>
    <w:rsid w:val="00290E03"/>
    <w:rsid w:val="00291379"/>
    <w:rsid w:val="00293AE2"/>
    <w:rsid w:val="002948AD"/>
    <w:rsid w:val="00294955"/>
    <w:rsid w:val="002957DB"/>
    <w:rsid w:val="002958DD"/>
    <w:rsid w:val="002978CA"/>
    <w:rsid w:val="00297B20"/>
    <w:rsid w:val="002A01CC"/>
    <w:rsid w:val="002A61B1"/>
    <w:rsid w:val="002A663C"/>
    <w:rsid w:val="002A6FEC"/>
    <w:rsid w:val="002B0721"/>
    <w:rsid w:val="002B1A3C"/>
    <w:rsid w:val="002B2E59"/>
    <w:rsid w:val="002B4287"/>
    <w:rsid w:val="002B444B"/>
    <w:rsid w:val="002B50A4"/>
    <w:rsid w:val="002B57D7"/>
    <w:rsid w:val="002B5887"/>
    <w:rsid w:val="002B76A7"/>
    <w:rsid w:val="002B7E08"/>
    <w:rsid w:val="002C06A3"/>
    <w:rsid w:val="002C0E27"/>
    <w:rsid w:val="002C2B1F"/>
    <w:rsid w:val="002C3040"/>
    <w:rsid w:val="002C41E7"/>
    <w:rsid w:val="002C5A4A"/>
    <w:rsid w:val="002D022D"/>
    <w:rsid w:val="002D044E"/>
    <w:rsid w:val="002D1D09"/>
    <w:rsid w:val="002D23B6"/>
    <w:rsid w:val="002D24BB"/>
    <w:rsid w:val="002D3D47"/>
    <w:rsid w:val="002D4241"/>
    <w:rsid w:val="002D4551"/>
    <w:rsid w:val="002D46E2"/>
    <w:rsid w:val="002D5DEC"/>
    <w:rsid w:val="002E02CB"/>
    <w:rsid w:val="002E0C87"/>
    <w:rsid w:val="002E1624"/>
    <w:rsid w:val="002E2AC4"/>
    <w:rsid w:val="002E2F09"/>
    <w:rsid w:val="002E5711"/>
    <w:rsid w:val="002F1CCD"/>
    <w:rsid w:val="002F2AF7"/>
    <w:rsid w:val="002F30CF"/>
    <w:rsid w:val="002F3802"/>
    <w:rsid w:val="002F48D6"/>
    <w:rsid w:val="002F49DC"/>
    <w:rsid w:val="002F4D52"/>
    <w:rsid w:val="002F5B0A"/>
    <w:rsid w:val="002F5E37"/>
    <w:rsid w:val="002F65D5"/>
    <w:rsid w:val="002F755C"/>
    <w:rsid w:val="002F7E1C"/>
    <w:rsid w:val="003015BA"/>
    <w:rsid w:val="00301A75"/>
    <w:rsid w:val="00302F70"/>
    <w:rsid w:val="00303274"/>
    <w:rsid w:val="0030336F"/>
    <w:rsid w:val="0030375E"/>
    <w:rsid w:val="00305242"/>
    <w:rsid w:val="00305524"/>
    <w:rsid w:val="00305A65"/>
    <w:rsid w:val="00305B3C"/>
    <w:rsid w:val="003062C3"/>
    <w:rsid w:val="00306DD5"/>
    <w:rsid w:val="00307575"/>
    <w:rsid w:val="00310C87"/>
    <w:rsid w:val="00310D4A"/>
    <w:rsid w:val="00312A30"/>
    <w:rsid w:val="0031300D"/>
    <w:rsid w:val="003139EB"/>
    <w:rsid w:val="0031455F"/>
    <w:rsid w:val="00314DD4"/>
    <w:rsid w:val="00315BEC"/>
    <w:rsid w:val="00317362"/>
    <w:rsid w:val="003175BA"/>
    <w:rsid w:val="00317A34"/>
    <w:rsid w:val="00320F72"/>
    <w:rsid w:val="00323B67"/>
    <w:rsid w:val="0032463E"/>
    <w:rsid w:val="003252F0"/>
    <w:rsid w:val="00326224"/>
    <w:rsid w:val="00330AAA"/>
    <w:rsid w:val="003321D2"/>
    <w:rsid w:val="0033412A"/>
    <w:rsid w:val="003379F1"/>
    <w:rsid w:val="00337EE4"/>
    <w:rsid w:val="0034001B"/>
    <w:rsid w:val="00340FFD"/>
    <w:rsid w:val="00341D6C"/>
    <w:rsid w:val="00341E59"/>
    <w:rsid w:val="003467DB"/>
    <w:rsid w:val="00347339"/>
    <w:rsid w:val="003477BF"/>
    <w:rsid w:val="00347F5E"/>
    <w:rsid w:val="003506B1"/>
    <w:rsid w:val="003509D5"/>
    <w:rsid w:val="00351ACF"/>
    <w:rsid w:val="00353B8C"/>
    <w:rsid w:val="00353BC4"/>
    <w:rsid w:val="00354F8C"/>
    <w:rsid w:val="00355068"/>
    <w:rsid w:val="0035652B"/>
    <w:rsid w:val="00356AC7"/>
    <w:rsid w:val="00360179"/>
    <w:rsid w:val="003609FA"/>
    <w:rsid w:val="003612D9"/>
    <w:rsid w:val="003626E1"/>
    <w:rsid w:val="00363701"/>
    <w:rsid w:val="0036411B"/>
    <w:rsid w:val="003663BE"/>
    <w:rsid w:val="00366C98"/>
    <w:rsid w:val="003710C8"/>
    <w:rsid w:val="003750BE"/>
    <w:rsid w:val="00375AAF"/>
    <w:rsid w:val="00380689"/>
    <w:rsid w:val="003812CD"/>
    <w:rsid w:val="00381B72"/>
    <w:rsid w:val="00382DF2"/>
    <w:rsid w:val="00384293"/>
    <w:rsid w:val="00384B05"/>
    <w:rsid w:val="00384D70"/>
    <w:rsid w:val="003859FC"/>
    <w:rsid w:val="00386AA5"/>
    <w:rsid w:val="00387B9D"/>
    <w:rsid w:val="00390594"/>
    <w:rsid w:val="00390812"/>
    <w:rsid w:val="00390AB4"/>
    <w:rsid w:val="00390C99"/>
    <w:rsid w:val="003929FC"/>
    <w:rsid w:val="00392E3A"/>
    <w:rsid w:val="0039364F"/>
    <w:rsid w:val="003937A2"/>
    <w:rsid w:val="003938CF"/>
    <w:rsid w:val="00393F17"/>
    <w:rsid w:val="003941D1"/>
    <w:rsid w:val="00394C39"/>
    <w:rsid w:val="00395C73"/>
    <w:rsid w:val="00396686"/>
    <w:rsid w:val="0039778E"/>
    <w:rsid w:val="003A0678"/>
    <w:rsid w:val="003A254F"/>
    <w:rsid w:val="003A2765"/>
    <w:rsid w:val="003A2811"/>
    <w:rsid w:val="003A2981"/>
    <w:rsid w:val="003A2ED2"/>
    <w:rsid w:val="003A61BB"/>
    <w:rsid w:val="003B0559"/>
    <w:rsid w:val="003B056C"/>
    <w:rsid w:val="003B1FF3"/>
    <w:rsid w:val="003B257F"/>
    <w:rsid w:val="003B2814"/>
    <w:rsid w:val="003B33A9"/>
    <w:rsid w:val="003B4941"/>
    <w:rsid w:val="003B4E6F"/>
    <w:rsid w:val="003B6531"/>
    <w:rsid w:val="003B76AB"/>
    <w:rsid w:val="003C09C3"/>
    <w:rsid w:val="003C4DFB"/>
    <w:rsid w:val="003C5714"/>
    <w:rsid w:val="003C5D0B"/>
    <w:rsid w:val="003C5E64"/>
    <w:rsid w:val="003C5EA5"/>
    <w:rsid w:val="003C6B9F"/>
    <w:rsid w:val="003C6E2A"/>
    <w:rsid w:val="003C7C2E"/>
    <w:rsid w:val="003D0299"/>
    <w:rsid w:val="003D0CA4"/>
    <w:rsid w:val="003D0E50"/>
    <w:rsid w:val="003D5709"/>
    <w:rsid w:val="003E1980"/>
    <w:rsid w:val="003E2D2A"/>
    <w:rsid w:val="003E420C"/>
    <w:rsid w:val="003E6D80"/>
    <w:rsid w:val="003F05FA"/>
    <w:rsid w:val="003F06EF"/>
    <w:rsid w:val="003F09A7"/>
    <w:rsid w:val="003F0EED"/>
    <w:rsid w:val="003F244A"/>
    <w:rsid w:val="003F26DC"/>
    <w:rsid w:val="003F2807"/>
    <w:rsid w:val="003F30B8"/>
    <w:rsid w:val="003F4C45"/>
    <w:rsid w:val="003F5F7B"/>
    <w:rsid w:val="003F7D64"/>
    <w:rsid w:val="00400B82"/>
    <w:rsid w:val="00407863"/>
    <w:rsid w:val="004100C5"/>
    <w:rsid w:val="004124E1"/>
    <w:rsid w:val="00412C5A"/>
    <w:rsid w:val="00414300"/>
    <w:rsid w:val="00414686"/>
    <w:rsid w:val="004147EA"/>
    <w:rsid w:val="004168E3"/>
    <w:rsid w:val="00420C4A"/>
    <w:rsid w:val="00421037"/>
    <w:rsid w:val="00421D48"/>
    <w:rsid w:val="0042260B"/>
    <w:rsid w:val="00422B83"/>
    <w:rsid w:val="0042324D"/>
    <w:rsid w:val="00424E89"/>
    <w:rsid w:val="00425B4F"/>
    <w:rsid w:val="00425C67"/>
    <w:rsid w:val="0042678A"/>
    <w:rsid w:val="004272EB"/>
    <w:rsid w:val="004273D1"/>
    <w:rsid w:val="00427E7A"/>
    <w:rsid w:val="00430063"/>
    <w:rsid w:val="0043194C"/>
    <w:rsid w:val="00432309"/>
    <w:rsid w:val="00433FF2"/>
    <w:rsid w:val="00434EC4"/>
    <w:rsid w:val="00436C49"/>
    <w:rsid w:val="00436DF3"/>
    <w:rsid w:val="0044083F"/>
    <w:rsid w:val="00440CC2"/>
    <w:rsid w:val="004429DF"/>
    <w:rsid w:val="00444A50"/>
    <w:rsid w:val="004452B4"/>
    <w:rsid w:val="00445366"/>
    <w:rsid w:val="00447F5B"/>
    <w:rsid w:val="0045067D"/>
    <w:rsid w:val="00450B53"/>
    <w:rsid w:val="00453BC0"/>
    <w:rsid w:val="00454975"/>
    <w:rsid w:val="00454FE5"/>
    <w:rsid w:val="00455E6A"/>
    <w:rsid w:val="00456E60"/>
    <w:rsid w:val="004601E6"/>
    <w:rsid w:val="00461DB0"/>
    <w:rsid w:val="00462F74"/>
    <w:rsid w:val="004630F1"/>
    <w:rsid w:val="00463926"/>
    <w:rsid w:val="00463AD8"/>
    <w:rsid w:val="00464C9A"/>
    <w:rsid w:val="0046519C"/>
    <w:rsid w:val="00467904"/>
    <w:rsid w:val="00467B50"/>
    <w:rsid w:val="00467C1F"/>
    <w:rsid w:val="004741F5"/>
    <w:rsid w:val="00474239"/>
    <w:rsid w:val="00474DF6"/>
    <w:rsid w:val="00474F3D"/>
    <w:rsid w:val="00475C3D"/>
    <w:rsid w:val="0047617E"/>
    <w:rsid w:val="004763E8"/>
    <w:rsid w:val="00477E3A"/>
    <w:rsid w:val="00481A06"/>
    <w:rsid w:val="00482C82"/>
    <w:rsid w:val="00483343"/>
    <w:rsid w:val="00483E5F"/>
    <w:rsid w:val="00485FF9"/>
    <w:rsid w:val="004907F0"/>
    <w:rsid w:val="0049140B"/>
    <w:rsid w:val="00491ECB"/>
    <w:rsid w:val="0049212A"/>
    <w:rsid w:val="00492330"/>
    <w:rsid w:val="004923A5"/>
    <w:rsid w:val="00492485"/>
    <w:rsid w:val="004936CE"/>
    <w:rsid w:val="004947F9"/>
    <w:rsid w:val="00494F49"/>
    <w:rsid w:val="0049656C"/>
    <w:rsid w:val="0049668D"/>
    <w:rsid w:val="00496BFB"/>
    <w:rsid w:val="00497129"/>
    <w:rsid w:val="004A0DD9"/>
    <w:rsid w:val="004A10FA"/>
    <w:rsid w:val="004A1589"/>
    <w:rsid w:val="004A15C7"/>
    <w:rsid w:val="004A2F67"/>
    <w:rsid w:val="004A31F3"/>
    <w:rsid w:val="004A3EE0"/>
    <w:rsid w:val="004A6C1B"/>
    <w:rsid w:val="004A7537"/>
    <w:rsid w:val="004A7817"/>
    <w:rsid w:val="004B013B"/>
    <w:rsid w:val="004B112B"/>
    <w:rsid w:val="004B1CF0"/>
    <w:rsid w:val="004B26DA"/>
    <w:rsid w:val="004B2C26"/>
    <w:rsid w:val="004B62C8"/>
    <w:rsid w:val="004C01E4"/>
    <w:rsid w:val="004C086C"/>
    <w:rsid w:val="004C1F56"/>
    <w:rsid w:val="004C27BC"/>
    <w:rsid w:val="004C43C6"/>
    <w:rsid w:val="004C45B8"/>
    <w:rsid w:val="004C5572"/>
    <w:rsid w:val="004C636D"/>
    <w:rsid w:val="004D024F"/>
    <w:rsid w:val="004D0F58"/>
    <w:rsid w:val="004D15F3"/>
    <w:rsid w:val="004D1A04"/>
    <w:rsid w:val="004D1F3B"/>
    <w:rsid w:val="004D1F41"/>
    <w:rsid w:val="004D31DA"/>
    <w:rsid w:val="004D5311"/>
    <w:rsid w:val="004D5DCC"/>
    <w:rsid w:val="004D73C8"/>
    <w:rsid w:val="004E0A0D"/>
    <w:rsid w:val="004E0C2F"/>
    <w:rsid w:val="004E17B8"/>
    <w:rsid w:val="004E1C48"/>
    <w:rsid w:val="004E2EDD"/>
    <w:rsid w:val="004F05C9"/>
    <w:rsid w:val="004F1067"/>
    <w:rsid w:val="004F10AF"/>
    <w:rsid w:val="004F11A4"/>
    <w:rsid w:val="004F2389"/>
    <w:rsid w:val="004F2979"/>
    <w:rsid w:val="004F304D"/>
    <w:rsid w:val="004F3472"/>
    <w:rsid w:val="004F43D2"/>
    <w:rsid w:val="004F51CE"/>
    <w:rsid w:val="004F61BE"/>
    <w:rsid w:val="004F66B1"/>
    <w:rsid w:val="004F74A2"/>
    <w:rsid w:val="00500653"/>
    <w:rsid w:val="00500F6E"/>
    <w:rsid w:val="005010CD"/>
    <w:rsid w:val="005011CC"/>
    <w:rsid w:val="005029CE"/>
    <w:rsid w:val="005032CF"/>
    <w:rsid w:val="00504ABE"/>
    <w:rsid w:val="00504F1A"/>
    <w:rsid w:val="00505E9E"/>
    <w:rsid w:val="00506E15"/>
    <w:rsid w:val="00506F9A"/>
    <w:rsid w:val="00507917"/>
    <w:rsid w:val="00511C07"/>
    <w:rsid w:val="00512132"/>
    <w:rsid w:val="0051354F"/>
    <w:rsid w:val="005173A6"/>
    <w:rsid w:val="00517717"/>
    <w:rsid w:val="00517E35"/>
    <w:rsid w:val="00520BAA"/>
    <w:rsid w:val="00520CD0"/>
    <w:rsid w:val="005213F3"/>
    <w:rsid w:val="00522336"/>
    <w:rsid w:val="00522670"/>
    <w:rsid w:val="00522B34"/>
    <w:rsid w:val="005247BA"/>
    <w:rsid w:val="00525208"/>
    <w:rsid w:val="005257A5"/>
    <w:rsid w:val="00525CFA"/>
    <w:rsid w:val="0052627D"/>
    <w:rsid w:val="005264C0"/>
    <w:rsid w:val="00526A8A"/>
    <w:rsid w:val="0052778E"/>
    <w:rsid w:val="00527DB0"/>
    <w:rsid w:val="005307F7"/>
    <w:rsid w:val="00531DF2"/>
    <w:rsid w:val="005352D7"/>
    <w:rsid w:val="005406C9"/>
    <w:rsid w:val="00540CBE"/>
    <w:rsid w:val="00541F57"/>
    <w:rsid w:val="005442EE"/>
    <w:rsid w:val="0054441F"/>
    <w:rsid w:val="005453E2"/>
    <w:rsid w:val="00545BC4"/>
    <w:rsid w:val="005463AA"/>
    <w:rsid w:val="00546A74"/>
    <w:rsid w:val="00547353"/>
    <w:rsid w:val="005474E7"/>
    <w:rsid w:val="005476F9"/>
    <w:rsid w:val="0055089F"/>
    <w:rsid w:val="005512A3"/>
    <w:rsid w:val="0055197F"/>
    <w:rsid w:val="0055286A"/>
    <w:rsid w:val="00553E3F"/>
    <w:rsid w:val="005541D9"/>
    <w:rsid w:val="005578CE"/>
    <w:rsid w:val="00562441"/>
    <w:rsid w:val="00562781"/>
    <w:rsid w:val="00565EF8"/>
    <w:rsid w:val="00566955"/>
    <w:rsid w:val="00566E67"/>
    <w:rsid w:val="00570EE7"/>
    <w:rsid w:val="0057271C"/>
    <w:rsid w:val="00572845"/>
    <w:rsid w:val="00574C83"/>
    <w:rsid w:val="005758B2"/>
    <w:rsid w:val="00576548"/>
    <w:rsid w:val="00577CD7"/>
    <w:rsid w:val="005808B7"/>
    <w:rsid w:val="00580998"/>
    <w:rsid w:val="0058234F"/>
    <w:rsid w:val="00590705"/>
    <w:rsid w:val="00590C7D"/>
    <w:rsid w:val="005910E6"/>
    <w:rsid w:val="00591425"/>
    <w:rsid w:val="00592772"/>
    <w:rsid w:val="005945AB"/>
    <w:rsid w:val="00595025"/>
    <w:rsid w:val="005954C9"/>
    <w:rsid w:val="0059574A"/>
    <w:rsid w:val="00596468"/>
    <w:rsid w:val="005A02CB"/>
    <w:rsid w:val="005A12DF"/>
    <w:rsid w:val="005A1B9B"/>
    <w:rsid w:val="005A4D8D"/>
    <w:rsid w:val="005A57E7"/>
    <w:rsid w:val="005A6751"/>
    <w:rsid w:val="005A6A1B"/>
    <w:rsid w:val="005B092E"/>
    <w:rsid w:val="005B14C3"/>
    <w:rsid w:val="005B152C"/>
    <w:rsid w:val="005B1EE0"/>
    <w:rsid w:val="005B2B24"/>
    <w:rsid w:val="005B4425"/>
    <w:rsid w:val="005B4B94"/>
    <w:rsid w:val="005B4E39"/>
    <w:rsid w:val="005B4FA4"/>
    <w:rsid w:val="005B7231"/>
    <w:rsid w:val="005B78E6"/>
    <w:rsid w:val="005C0909"/>
    <w:rsid w:val="005C3EE8"/>
    <w:rsid w:val="005C740C"/>
    <w:rsid w:val="005C7DF9"/>
    <w:rsid w:val="005D0B2B"/>
    <w:rsid w:val="005D2AB1"/>
    <w:rsid w:val="005D34F9"/>
    <w:rsid w:val="005D4190"/>
    <w:rsid w:val="005D5EB5"/>
    <w:rsid w:val="005D67A3"/>
    <w:rsid w:val="005D78EC"/>
    <w:rsid w:val="005E1197"/>
    <w:rsid w:val="005E2372"/>
    <w:rsid w:val="005E255B"/>
    <w:rsid w:val="005E293C"/>
    <w:rsid w:val="005E2988"/>
    <w:rsid w:val="005E3085"/>
    <w:rsid w:val="005E3331"/>
    <w:rsid w:val="005E3412"/>
    <w:rsid w:val="005E34B4"/>
    <w:rsid w:val="005E35CD"/>
    <w:rsid w:val="005E37C6"/>
    <w:rsid w:val="005E4A3D"/>
    <w:rsid w:val="005E5F03"/>
    <w:rsid w:val="005E77F1"/>
    <w:rsid w:val="005F33A0"/>
    <w:rsid w:val="005F3450"/>
    <w:rsid w:val="005F37F0"/>
    <w:rsid w:val="005F51E1"/>
    <w:rsid w:val="005F6279"/>
    <w:rsid w:val="00601AD4"/>
    <w:rsid w:val="00601B89"/>
    <w:rsid w:val="0060201B"/>
    <w:rsid w:val="00603346"/>
    <w:rsid w:val="00603523"/>
    <w:rsid w:val="006070A8"/>
    <w:rsid w:val="0060783D"/>
    <w:rsid w:val="00611C80"/>
    <w:rsid w:val="006126BA"/>
    <w:rsid w:val="00613D8E"/>
    <w:rsid w:val="00614006"/>
    <w:rsid w:val="00614CD0"/>
    <w:rsid w:val="0061534E"/>
    <w:rsid w:val="00617E0D"/>
    <w:rsid w:val="00620464"/>
    <w:rsid w:val="00620692"/>
    <w:rsid w:val="0062250A"/>
    <w:rsid w:val="00622D26"/>
    <w:rsid w:val="00622F19"/>
    <w:rsid w:val="0062340B"/>
    <w:rsid w:val="00623718"/>
    <w:rsid w:val="006242CA"/>
    <w:rsid w:val="00624D81"/>
    <w:rsid w:val="00627507"/>
    <w:rsid w:val="00630CF9"/>
    <w:rsid w:val="00633717"/>
    <w:rsid w:val="006344E1"/>
    <w:rsid w:val="00635DDE"/>
    <w:rsid w:val="00641D46"/>
    <w:rsid w:val="00646454"/>
    <w:rsid w:val="00647A31"/>
    <w:rsid w:val="00652646"/>
    <w:rsid w:val="0065298D"/>
    <w:rsid w:val="00653FAB"/>
    <w:rsid w:val="006545C4"/>
    <w:rsid w:val="0066157F"/>
    <w:rsid w:val="00661971"/>
    <w:rsid w:val="00661CE8"/>
    <w:rsid w:val="006623D9"/>
    <w:rsid w:val="006628C2"/>
    <w:rsid w:val="006629A7"/>
    <w:rsid w:val="00663BF8"/>
    <w:rsid w:val="0066550C"/>
    <w:rsid w:val="00665E26"/>
    <w:rsid w:val="006660C7"/>
    <w:rsid w:val="0066648C"/>
    <w:rsid w:val="00666AF7"/>
    <w:rsid w:val="00666BAA"/>
    <w:rsid w:val="00667866"/>
    <w:rsid w:val="00667B26"/>
    <w:rsid w:val="00667B35"/>
    <w:rsid w:val="00667BA5"/>
    <w:rsid w:val="00667EFE"/>
    <w:rsid w:val="00670CAB"/>
    <w:rsid w:val="0067121C"/>
    <w:rsid w:val="006716F2"/>
    <w:rsid w:val="00672A83"/>
    <w:rsid w:val="0067391E"/>
    <w:rsid w:val="00674347"/>
    <w:rsid w:val="00674A0C"/>
    <w:rsid w:val="006773B9"/>
    <w:rsid w:val="00677400"/>
    <w:rsid w:val="00682BF2"/>
    <w:rsid w:val="00682F2C"/>
    <w:rsid w:val="006839F4"/>
    <w:rsid w:val="00683FDE"/>
    <w:rsid w:val="006845B8"/>
    <w:rsid w:val="006852DF"/>
    <w:rsid w:val="006859CE"/>
    <w:rsid w:val="00691270"/>
    <w:rsid w:val="0069188A"/>
    <w:rsid w:val="00693EC3"/>
    <w:rsid w:val="00694A2E"/>
    <w:rsid w:val="00694BA8"/>
    <w:rsid w:val="006A037C"/>
    <w:rsid w:val="006A0E9D"/>
    <w:rsid w:val="006A2935"/>
    <w:rsid w:val="006A2BCD"/>
    <w:rsid w:val="006A36F4"/>
    <w:rsid w:val="006A406F"/>
    <w:rsid w:val="006A462E"/>
    <w:rsid w:val="006A5BDD"/>
    <w:rsid w:val="006A5D3A"/>
    <w:rsid w:val="006A68DF"/>
    <w:rsid w:val="006B0939"/>
    <w:rsid w:val="006B23C3"/>
    <w:rsid w:val="006B2D67"/>
    <w:rsid w:val="006B356C"/>
    <w:rsid w:val="006B7439"/>
    <w:rsid w:val="006B77AC"/>
    <w:rsid w:val="006C0A7A"/>
    <w:rsid w:val="006C18F3"/>
    <w:rsid w:val="006C1BCB"/>
    <w:rsid w:val="006C1D48"/>
    <w:rsid w:val="006C23D4"/>
    <w:rsid w:val="006C2665"/>
    <w:rsid w:val="006C2EDA"/>
    <w:rsid w:val="006C4861"/>
    <w:rsid w:val="006C5C2F"/>
    <w:rsid w:val="006C6433"/>
    <w:rsid w:val="006C64BE"/>
    <w:rsid w:val="006C6BAA"/>
    <w:rsid w:val="006C7150"/>
    <w:rsid w:val="006C7BB0"/>
    <w:rsid w:val="006D1854"/>
    <w:rsid w:val="006D1F0E"/>
    <w:rsid w:val="006D22E4"/>
    <w:rsid w:val="006D28BC"/>
    <w:rsid w:val="006D3237"/>
    <w:rsid w:val="006D4737"/>
    <w:rsid w:val="006D73C2"/>
    <w:rsid w:val="006D765B"/>
    <w:rsid w:val="006E1324"/>
    <w:rsid w:val="006E2E37"/>
    <w:rsid w:val="006E3CF1"/>
    <w:rsid w:val="006E508B"/>
    <w:rsid w:val="006E52A1"/>
    <w:rsid w:val="006E5EB0"/>
    <w:rsid w:val="006E7413"/>
    <w:rsid w:val="006E7E80"/>
    <w:rsid w:val="006F03FE"/>
    <w:rsid w:val="006F045D"/>
    <w:rsid w:val="006F05A7"/>
    <w:rsid w:val="006F0865"/>
    <w:rsid w:val="006F22B7"/>
    <w:rsid w:val="006F2625"/>
    <w:rsid w:val="006F2733"/>
    <w:rsid w:val="006F2BA3"/>
    <w:rsid w:val="006F2E4B"/>
    <w:rsid w:val="006F485B"/>
    <w:rsid w:val="006F48CA"/>
    <w:rsid w:val="006F4BB5"/>
    <w:rsid w:val="006F64DD"/>
    <w:rsid w:val="006F677D"/>
    <w:rsid w:val="007001A5"/>
    <w:rsid w:val="00701450"/>
    <w:rsid w:val="00701672"/>
    <w:rsid w:val="007032C6"/>
    <w:rsid w:val="00703669"/>
    <w:rsid w:val="00703B1C"/>
    <w:rsid w:val="00703DE8"/>
    <w:rsid w:val="007049D5"/>
    <w:rsid w:val="00705348"/>
    <w:rsid w:val="00705E54"/>
    <w:rsid w:val="00706472"/>
    <w:rsid w:val="007076CC"/>
    <w:rsid w:val="0070779A"/>
    <w:rsid w:val="00707E5E"/>
    <w:rsid w:val="00711AA8"/>
    <w:rsid w:val="00711B9F"/>
    <w:rsid w:val="00712AF4"/>
    <w:rsid w:val="00713A69"/>
    <w:rsid w:val="00713E47"/>
    <w:rsid w:val="00714E0C"/>
    <w:rsid w:val="00715127"/>
    <w:rsid w:val="00715E8E"/>
    <w:rsid w:val="00716CCD"/>
    <w:rsid w:val="0072016A"/>
    <w:rsid w:val="0072147F"/>
    <w:rsid w:val="0072270B"/>
    <w:rsid w:val="00723580"/>
    <w:rsid w:val="00723755"/>
    <w:rsid w:val="007246BC"/>
    <w:rsid w:val="00725144"/>
    <w:rsid w:val="00727326"/>
    <w:rsid w:val="00731188"/>
    <w:rsid w:val="0073136C"/>
    <w:rsid w:val="00731F0F"/>
    <w:rsid w:val="007322A5"/>
    <w:rsid w:val="007324F0"/>
    <w:rsid w:val="00733233"/>
    <w:rsid w:val="00733250"/>
    <w:rsid w:val="007333C7"/>
    <w:rsid w:val="00733556"/>
    <w:rsid w:val="00735235"/>
    <w:rsid w:val="00740F9C"/>
    <w:rsid w:val="00741404"/>
    <w:rsid w:val="007449E5"/>
    <w:rsid w:val="00747196"/>
    <w:rsid w:val="00747FF0"/>
    <w:rsid w:val="007513B3"/>
    <w:rsid w:val="007535C8"/>
    <w:rsid w:val="0075770F"/>
    <w:rsid w:val="00762522"/>
    <w:rsid w:val="00764D4E"/>
    <w:rsid w:val="007654AB"/>
    <w:rsid w:val="00765A1F"/>
    <w:rsid w:val="00766A96"/>
    <w:rsid w:val="007675AF"/>
    <w:rsid w:val="007741ED"/>
    <w:rsid w:val="00775B6D"/>
    <w:rsid w:val="00775C5B"/>
    <w:rsid w:val="00776BEC"/>
    <w:rsid w:val="00776D68"/>
    <w:rsid w:val="00777E45"/>
    <w:rsid w:val="00781D3F"/>
    <w:rsid w:val="00782FCD"/>
    <w:rsid w:val="0078359A"/>
    <w:rsid w:val="00783E47"/>
    <w:rsid w:val="007850EE"/>
    <w:rsid w:val="00785B95"/>
    <w:rsid w:val="0078664E"/>
    <w:rsid w:val="00790E96"/>
    <w:rsid w:val="007914D7"/>
    <w:rsid w:val="00792CF0"/>
    <w:rsid w:val="007931C4"/>
    <w:rsid w:val="00793366"/>
    <w:rsid w:val="007952DA"/>
    <w:rsid w:val="00795E9E"/>
    <w:rsid w:val="007972C9"/>
    <w:rsid w:val="007A01CB"/>
    <w:rsid w:val="007A0725"/>
    <w:rsid w:val="007A3319"/>
    <w:rsid w:val="007A3C1C"/>
    <w:rsid w:val="007A4946"/>
    <w:rsid w:val="007A716F"/>
    <w:rsid w:val="007B0EA3"/>
    <w:rsid w:val="007B216C"/>
    <w:rsid w:val="007B270A"/>
    <w:rsid w:val="007B2E91"/>
    <w:rsid w:val="007B47E8"/>
    <w:rsid w:val="007B4B56"/>
    <w:rsid w:val="007B4D3F"/>
    <w:rsid w:val="007C0695"/>
    <w:rsid w:val="007C0BBA"/>
    <w:rsid w:val="007C1C7F"/>
    <w:rsid w:val="007C419A"/>
    <w:rsid w:val="007C4345"/>
    <w:rsid w:val="007C46FB"/>
    <w:rsid w:val="007C48A5"/>
    <w:rsid w:val="007C4CC8"/>
    <w:rsid w:val="007C5300"/>
    <w:rsid w:val="007C5426"/>
    <w:rsid w:val="007C5798"/>
    <w:rsid w:val="007D1E06"/>
    <w:rsid w:val="007D1E9A"/>
    <w:rsid w:val="007D32F7"/>
    <w:rsid w:val="007D4832"/>
    <w:rsid w:val="007D4EE4"/>
    <w:rsid w:val="007D665F"/>
    <w:rsid w:val="007D6C03"/>
    <w:rsid w:val="007E0232"/>
    <w:rsid w:val="007E03C2"/>
    <w:rsid w:val="007E0FCC"/>
    <w:rsid w:val="007E21B2"/>
    <w:rsid w:val="007E2C4E"/>
    <w:rsid w:val="007E2D10"/>
    <w:rsid w:val="007E3ED4"/>
    <w:rsid w:val="007E48C2"/>
    <w:rsid w:val="007E5FBE"/>
    <w:rsid w:val="007E6CD6"/>
    <w:rsid w:val="007E76AB"/>
    <w:rsid w:val="007F036B"/>
    <w:rsid w:val="007F0676"/>
    <w:rsid w:val="007F1905"/>
    <w:rsid w:val="007F25E9"/>
    <w:rsid w:val="007F34E2"/>
    <w:rsid w:val="007F42BB"/>
    <w:rsid w:val="007F4C49"/>
    <w:rsid w:val="007F4F51"/>
    <w:rsid w:val="007F5EB5"/>
    <w:rsid w:val="007F6406"/>
    <w:rsid w:val="007F7659"/>
    <w:rsid w:val="007F7CFC"/>
    <w:rsid w:val="00801300"/>
    <w:rsid w:val="00801522"/>
    <w:rsid w:val="008020B1"/>
    <w:rsid w:val="00802C64"/>
    <w:rsid w:val="00805E52"/>
    <w:rsid w:val="008061D0"/>
    <w:rsid w:val="00806CE7"/>
    <w:rsid w:val="0080743D"/>
    <w:rsid w:val="00810B38"/>
    <w:rsid w:val="008126E4"/>
    <w:rsid w:val="00813306"/>
    <w:rsid w:val="00814553"/>
    <w:rsid w:val="008169B4"/>
    <w:rsid w:val="00816D4B"/>
    <w:rsid w:val="00817059"/>
    <w:rsid w:val="008177C0"/>
    <w:rsid w:val="008204C7"/>
    <w:rsid w:val="008204DE"/>
    <w:rsid w:val="00820992"/>
    <w:rsid w:val="0082204B"/>
    <w:rsid w:val="00822DE4"/>
    <w:rsid w:val="00823602"/>
    <w:rsid w:val="0082513A"/>
    <w:rsid w:val="008255F5"/>
    <w:rsid w:val="008260AB"/>
    <w:rsid w:val="0083014E"/>
    <w:rsid w:val="00830435"/>
    <w:rsid w:val="0083214A"/>
    <w:rsid w:val="008323C4"/>
    <w:rsid w:val="00833FBC"/>
    <w:rsid w:val="00834220"/>
    <w:rsid w:val="0084045C"/>
    <w:rsid w:val="008409DE"/>
    <w:rsid w:val="00840FE2"/>
    <w:rsid w:val="00841DFF"/>
    <w:rsid w:val="00842A45"/>
    <w:rsid w:val="0084351A"/>
    <w:rsid w:val="00844C8F"/>
    <w:rsid w:val="00844EA0"/>
    <w:rsid w:val="00845723"/>
    <w:rsid w:val="008474B7"/>
    <w:rsid w:val="00847B5E"/>
    <w:rsid w:val="00850ADA"/>
    <w:rsid w:val="0085172D"/>
    <w:rsid w:val="00851892"/>
    <w:rsid w:val="00851A29"/>
    <w:rsid w:val="00851EF9"/>
    <w:rsid w:val="00853116"/>
    <w:rsid w:val="008532AE"/>
    <w:rsid w:val="00853A9D"/>
    <w:rsid w:val="00856394"/>
    <w:rsid w:val="0085662B"/>
    <w:rsid w:val="008577FD"/>
    <w:rsid w:val="00860B03"/>
    <w:rsid w:val="00860BEC"/>
    <w:rsid w:val="008618F0"/>
    <w:rsid w:val="00861AAE"/>
    <w:rsid w:val="00864524"/>
    <w:rsid w:val="0086497A"/>
    <w:rsid w:val="00865069"/>
    <w:rsid w:val="00865301"/>
    <w:rsid w:val="00870DB8"/>
    <w:rsid w:val="008713A1"/>
    <w:rsid w:val="00871675"/>
    <w:rsid w:val="008754AB"/>
    <w:rsid w:val="00875AB3"/>
    <w:rsid w:val="00876E58"/>
    <w:rsid w:val="0087739B"/>
    <w:rsid w:val="008804EC"/>
    <w:rsid w:val="0088060C"/>
    <w:rsid w:val="00881266"/>
    <w:rsid w:val="008851E6"/>
    <w:rsid w:val="00886029"/>
    <w:rsid w:val="00887238"/>
    <w:rsid w:val="00887628"/>
    <w:rsid w:val="00890146"/>
    <w:rsid w:val="00890701"/>
    <w:rsid w:val="0089190C"/>
    <w:rsid w:val="00893576"/>
    <w:rsid w:val="00893B0A"/>
    <w:rsid w:val="00893C64"/>
    <w:rsid w:val="00893E73"/>
    <w:rsid w:val="00893FDD"/>
    <w:rsid w:val="00894EF7"/>
    <w:rsid w:val="00897B3C"/>
    <w:rsid w:val="008A0302"/>
    <w:rsid w:val="008A22EC"/>
    <w:rsid w:val="008A3216"/>
    <w:rsid w:val="008A42B9"/>
    <w:rsid w:val="008A6C63"/>
    <w:rsid w:val="008A6E62"/>
    <w:rsid w:val="008B02DC"/>
    <w:rsid w:val="008B104D"/>
    <w:rsid w:val="008B2F63"/>
    <w:rsid w:val="008B3DB1"/>
    <w:rsid w:val="008B4337"/>
    <w:rsid w:val="008B49DB"/>
    <w:rsid w:val="008B5622"/>
    <w:rsid w:val="008B57CE"/>
    <w:rsid w:val="008B70CC"/>
    <w:rsid w:val="008C1E93"/>
    <w:rsid w:val="008C212E"/>
    <w:rsid w:val="008C26DE"/>
    <w:rsid w:val="008C31F4"/>
    <w:rsid w:val="008C489D"/>
    <w:rsid w:val="008C570F"/>
    <w:rsid w:val="008C6E6C"/>
    <w:rsid w:val="008D1178"/>
    <w:rsid w:val="008D2225"/>
    <w:rsid w:val="008D2744"/>
    <w:rsid w:val="008D32C0"/>
    <w:rsid w:val="008D3BA8"/>
    <w:rsid w:val="008D4752"/>
    <w:rsid w:val="008D652B"/>
    <w:rsid w:val="008D6648"/>
    <w:rsid w:val="008D7151"/>
    <w:rsid w:val="008D7298"/>
    <w:rsid w:val="008E0788"/>
    <w:rsid w:val="008E0FF7"/>
    <w:rsid w:val="008E131F"/>
    <w:rsid w:val="008E271C"/>
    <w:rsid w:val="008E418E"/>
    <w:rsid w:val="008E41E2"/>
    <w:rsid w:val="008E4656"/>
    <w:rsid w:val="008E5571"/>
    <w:rsid w:val="008E5BC6"/>
    <w:rsid w:val="008E6A25"/>
    <w:rsid w:val="008F2704"/>
    <w:rsid w:val="008F4867"/>
    <w:rsid w:val="008F5193"/>
    <w:rsid w:val="008F6D09"/>
    <w:rsid w:val="009013A7"/>
    <w:rsid w:val="009017FB"/>
    <w:rsid w:val="009017FC"/>
    <w:rsid w:val="00901AAD"/>
    <w:rsid w:val="00901F3B"/>
    <w:rsid w:val="00903699"/>
    <w:rsid w:val="00903E4E"/>
    <w:rsid w:val="0090506B"/>
    <w:rsid w:val="009050C9"/>
    <w:rsid w:val="009051CE"/>
    <w:rsid w:val="00906481"/>
    <w:rsid w:val="009066FC"/>
    <w:rsid w:val="009104EC"/>
    <w:rsid w:val="00910B04"/>
    <w:rsid w:val="009119DF"/>
    <w:rsid w:val="009140A3"/>
    <w:rsid w:val="009144A2"/>
    <w:rsid w:val="0091510C"/>
    <w:rsid w:val="00915286"/>
    <w:rsid w:val="0091584A"/>
    <w:rsid w:val="00921374"/>
    <w:rsid w:val="00921AE1"/>
    <w:rsid w:val="00923F58"/>
    <w:rsid w:val="009250D6"/>
    <w:rsid w:val="00925583"/>
    <w:rsid w:val="009259AC"/>
    <w:rsid w:val="00926AD5"/>
    <w:rsid w:val="00926B8A"/>
    <w:rsid w:val="00926F38"/>
    <w:rsid w:val="00930215"/>
    <w:rsid w:val="00930650"/>
    <w:rsid w:val="00930B20"/>
    <w:rsid w:val="0093196E"/>
    <w:rsid w:val="00932178"/>
    <w:rsid w:val="009326D4"/>
    <w:rsid w:val="00934301"/>
    <w:rsid w:val="009352A3"/>
    <w:rsid w:val="009360D0"/>
    <w:rsid w:val="00936C2D"/>
    <w:rsid w:val="00936CD1"/>
    <w:rsid w:val="009370F2"/>
    <w:rsid w:val="00941747"/>
    <w:rsid w:val="00941A7F"/>
    <w:rsid w:val="00941EFB"/>
    <w:rsid w:val="00942BC4"/>
    <w:rsid w:val="00942EF1"/>
    <w:rsid w:val="0094372C"/>
    <w:rsid w:val="0094376E"/>
    <w:rsid w:val="00943BDC"/>
    <w:rsid w:val="00945A88"/>
    <w:rsid w:val="0094606F"/>
    <w:rsid w:val="00947AFB"/>
    <w:rsid w:val="00947DC8"/>
    <w:rsid w:val="009502B0"/>
    <w:rsid w:val="00950A6D"/>
    <w:rsid w:val="00951D7D"/>
    <w:rsid w:val="00953F3B"/>
    <w:rsid w:val="0095580C"/>
    <w:rsid w:val="00955CDA"/>
    <w:rsid w:val="009572E8"/>
    <w:rsid w:val="00960B35"/>
    <w:rsid w:val="00961DEE"/>
    <w:rsid w:val="00961ED8"/>
    <w:rsid w:val="009630C7"/>
    <w:rsid w:val="0096354E"/>
    <w:rsid w:val="00963E15"/>
    <w:rsid w:val="00964CE9"/>
    <w:rsid w:val="009670EA"/>
    <w:rsid w:val="009677B6"/>
    <w:rsid w:val="00970C37"/>
    <w:rsid w:val="00971668"/>
    <w:rsid w:val="00972B55"/>
    <w:rsid w:val="009743B7"/>
    <w:rsid w:val="009743BB"/>
    <w:rsid w:val="009748E9"/>
    <w:rsid w:val="00976678"/>
    <w:rsid w:val="00976F78"/>
    <w:rsid w:val="009776A2"/>
    <w:rsid w:val="00977804"/>
    <w:rsid w:val="00981EDA"/>
    <w:rsid w:val="0098228B"/>
    <w:rsid w:val="009823A4"/>
    <w:rsid w:val="00982727"/>
    <w:rsid w:val="009828DA"/>
    <w:rsid w:val="00983DBD"/>
    <w:rsid w:val="00985BAB"/>
    <w:rsid w:val="009867FA"/>
    <w:rsid w:val="00992966"/>
    <w:rsid w:val="00994556"/>
    <w:rsid w:val="009963D8"/>
    <w:rsid w:val="009A3163"/>
    <w:rsid w:val="009A35A9"/>
    <w:rsid w:val="009A48CD"/>
    <w:rsid w:val="009A5E4A"/>
    <w:rsid w:val="009A646E"/>
    <w:rsid w:val="009A7C5C"/>
    <w:rsid w:val="009A7D54"/>
    <w:rsid w:val="009B05D2"/>
    <w:rsid w:val="009B1B5F"/>
    <w:rsid w:val="009B3EC1"/>
    <w:rsid w:val="009B4D52"/>
    <w:rsid w:val="009B6673"/>
    <w:rsid w:val="009C1082"/>
    <w:rsid w:val="009C191B"/>
    <w:rsid w:val="009C1F1B"/>
    <w:rsid w:val="009C2BD6"/>
    <w:rsid w:val="009C300A"/>
    <w:rsid w:val="009C5881"/>
    <w:rsid w:val="009C5F34"/>
    <w:rsid w:val="009C6E17"/>
    <w:rsid w:val="009D0947"/>
    <w:rsid w:val="009D16B0"/>
    <w:rsid w:val="009D176A"/>
    <w:rsid w:val="009D1E0D"/>
    <w:rsid w:val="009D6368"/>
    <w:rsid w:val="009D6F14"/>
    <w:rsid w:val="009E1EEA"/>
    <w:rsid w:val="009E1F32"/>
    <w:rsid w:val="009E33E8"/>
    <w:rsid w:val="009E46DD"/>
    <w:rsid w:val="009E5ED4"/>
    <w:rsid w:val="009E7419"/>
    <w:rsid w:val="009E776C"/>
    <w:rsid w:val="009F2D07"/>
    <w:rsid w:val="009F314A"/>
    <w:rsid w:val="009F3399"/>
    <w:rsid w:val="009F3A89"/>
    <w:rsid w:val="009F5AFF"/>
    <w:rsid w:val="009F6C09"/>
    <w:rsid w:val="00A00144"/>
    <w:rsid w:val="00A02493"/>
    <w:rsid w:val="00A02A8A"/>
    <w:rsid w:val="00A03261"/>
    <w:rsid w:val="00A068FA"/>
    <w:rsid w:val="00A06A82"/>
    <w:rsid w:val="00A07D7C"/>
    <w:rsid w:val="00A10E81"/>
    <w:rsid w:val="00A13169"/>
    <w:rsid w:val="00A14B75"/>
    <w:rsid w:val="00A1726E"/>
    <w:rsid w:val="00A204CF"/>
    <w:rsid w:val="00A20CB6"/>
    <w:rsid w:val="00A21DF2"/>
    <w:rsid w:val="00A23D49"/>
    <w:rsid w:val="00A24864"/>
    <w:rsid w:val="00A24C74"/>
    <w:rsid w:val="00A25307"/>
    <w:rsid w:val="00A2646C"/>
    <w:rsid w:val="00A27004"/>
    <w:rsid w:val="00A30C29"/>
    <w:rsid w:val="00A3125B"/>
    <w:rsid w:val="00A33742"/>
    <w:rsid w:val="00A34422"/>
    <w:rsid w:val="00A34DD6"/>
    <w:rsid w:val="00A3537B"/>
    <w:rsid w:val="00A358C7"/>
    <w:rsid w:val="00A36819"/>
    <w:rsid w:val="00A36989"/>
    <w:rsid w:val="00A402A1"/>
    <w:rsid w:val="00A408EE"/>
    <w:rsid w:val="00A41025"/>
    <w:rsid w:val="00A420B6"/>
    <w:rsid w:val="00A43308"/>
    <w:rsid w:val="00A43628"/>
    <w:rsid w:val="00A52386"/>
    <w:rsid w:val="00A53422"/>
    <w:rsid w:val="00A54192"/>
    <w:rsid w:val="00A55440"/>
    <w:rsid w:val="00A56B99"/>
    <w:rsid w:val="00A57919"/>
    <w:rsid w:val="00A6035E"/>
    <w:rsid w:val="00A611E4"/>
    <w:rsid w:val="00A6144C"/>
    <w:rsid w:val="00A61986"/>
    <w:rsid w:val="00A621FF"/>
    <w:rsid w:val="00A639FC"/>
    <w:rsid w:val="00A6611C"/>
    <w:rsid w:val="00A6621C"/>
    <w:rsid w:val="00A66617"/>
    <w:rsid w:val="00A671F8"/>
    <w:rsid w:val="00A673A4"/>
    <w:rsid w:val="00A67531"/>
    <w:rsid w:val="00A724AE"/>
    <w:rsid w:val="00A72B26"/>
    <w:rsid w:val="00A73329"/>
    <w:rsid w:val="00A7455E"/>
    <w:rsid w:val="00A74BC1"/>
    <w:rsid w:val="00A75566"/>
    <w:rsid w:val="00A7703B"/>
    <w:rsid w:val="00A8206D"/>
    <w:rsid w:val="00A822E6"/>
    <w:rsid w:val="00A82359"/>
    <w:rsid w:val="00A8486D"/>
    <w:rsid w:val="00A865D2"/>
    <w:rsid w:val="00A879BB"/>
    <w:rsid w:val="00A87C0F"/>
    <w:rsid w:val="00A904F2"/>
    <w:rsid w:val="00A90E34"/>
    <w:rsid w:val="00A92243"/>
    <w:rsid w:val="00A93DCD"/>
    <w:rsid w:val="00A9448E"/>
    <w:rsid w:val="00A94A01"/>
    <w:rsid w:val="00A94C20"/>
    <w:rsid w:val="00A9586A"/>
    <w:rsid w:val="00A96B9B"/>
    <w:rsid w:val="00A96C83"/>
    <w:rsid w:val="00A96FE3"/>
    <w:rsid w:val="00A975B3"/>
    <w:rsid w:val="00AA1146"/>
    <w:rsid w:val="00AA1836"/>
    <w:rsid w:val="00AA227F"/>
    <w:rsid w:val="00AA2902"/>
    <w:rsid w:val="00AA3BC7"/>
    <w:rsid w:val="00AA51AF"/>
    <w:rsid w:val="00AA61B0"/>
    <w:rsid w:val="00AA64E8"/>
    <w:rsid w:val="00AA754A"/>
    <w:rsid w:val="00AA755B"/>
    <w:rsid w:val="00AB099E"/>
    <w:rsid w:val="00AB1503"/>
    <w:rsid w:val="00AB2DEE"/>
    <w:rsid w:val="00AB362B"/>
    <w:rsid w:val="00AB3A51"/>
    <w:rsid w:val="00AB4328"/>
    <w:rsid w:val="00AB579E"/>
    <w:rsid w:val="00AB71BE"/>
    <w:rsid w:val="00AC0492"/>
    <w:rsid w:val="00AC0824"/>
    <w:rsid w:val="00AC0D53"/>
    <w:rsid w:val="00AC380E"/>
    <w:rsid w:val="00AC3C02"/>
    <w:rsid w:val="00AC3DAF"/>
    <w:rsid w:val="00AC3DBD"/>
    <w:rsid w:val="00AC4EBF"/>
    <w:rsid w:val="00AC7980"/>
    <w:rsid w:val="00AD1694"/>
    <w:rsid w:val="00AD179D"/>
    <w:rsid w:val="00AD1E4C"/>
    <w:rsid w:val="00AD1EC2"/>
    <w:rsid w:val="00AD3B03"/>
    <w:rsid w:val="00AD3B74"/>
    <w:rsid w:val="00AD412E"/>
    <w:rsid w:val="00AD4E55"/>
    <w:rsid w:val="00AD5FAE"/>
    <w:rsid w:val="00AD603A"/>
    <w:rsid w:val="00AD619D"/>
    <w:rsid w:val="00AE0A2E"/>
    <w:rsid w:val="00AE0AAC"/>
    <w:rsid w:val="00AE17BB"/>
    <w:rsid w:val="00AE1BA5"/>
    <w:rsid w:val="00AE354C"/>
    <w:rsid w:val="00AE4075"/>
    <w:rsid w:val="00AE41B0"/>
    <w:rsid w:val="00AE674A"/>
    <w:rsid w:val="00AE721E"/>
    <w:rsid w:val="00AE7591"/>
    <w:rsid w:val="00AF2185"/>
    <w:rsid w:val="00AF4B07"/>
    <w:rsid w:val="00AF5CC8"/>
    <w:rsid w:val="00AF6186"/>
    <w:rsid w:val="00AF7A3A"/>
    <w:rsid w:val="00B0043D"/>
    <w:rsid w:val="00B00C44"/>
    <w:rsid w:val="00B03A51"/>
    <w:rsid w:val="00B04559"/>
    <w:rsid w:val="00B05B56"/>
    <w:rsid w:val="00B062F0"/>
    <w:rsid w:val="00B067BA"/>
    <w:rsid w:val="00B06FD8"/>
    <w:rsid w:val="00B10221"/>
    <w:rsid w:val="00B136BA"/>
    <w:rsid w:val="00B152B9"/>
    <w:rsid w:val="00B156A5"/>
    <w:rsid w:val="00B160DB"/>
    <w:rsid w:val="00B16672"/>
    <w:rsid w:val="00B20836"/>
    <w:rsid w:val="00B2144B"/>
    <w:rsid w:val="00B21640"/>
    <w:rsid w:val="00B235BB"/>
    <w:rsid w:val="00B251F5"/>
    <w:rsid w:val="00B2619D"/>
    <w:rsid w:val="00B263D3"/>
    <w:rsid w:val="00B27A44"/>
    <w:rsid w:val="00B30BBF"/>
    <w:rsid w:val="00B31437"/>
    <w:rsid w:val="00B320C2"/>
    <w:rsid w:val="00B33C03"/>
    <w:rsid w:val="00B345FE"/>
    <w:rsid w:val="00B35FBC"/>
    <w:rsid w:val="00B368CE"/>
    <w:rsid w:val="00B40D23"/>
    <w:rsid w:val="00B4101E"/>
    <w:rsid w:val="00B42304"/>
    <w:rsid w:val="00B44E56"/>
    <w:rsid w:val="00B46543"/>
    <w:rsid w:val="00B47D33"/>
    <w:rsid w:val="00B506E6"/>
    <w:rsid w:val="00B51828"/>
    <w:rsid w:val="00B51D53"/>
    <w:rsid w:val="00B52260"/>
    <w:rsid w:val="00B52BE0"/>
    <w:rsid w:val="00B534DC"/>
    <w:rsid w:val="00B539F4"/>
    <w:rsid w:val="00B540F6"/>
    <w:rsid w:val="00B54133"/>
    <w:rsid w:val="00B56476"/>
    <w:rsid w:val="00B61403"/>
    <w:rsid w:val="00B62471"/>
    <w:rsid w:val="00B62BF5"/>
    <w:rsid w:val="00B63FD9"/>
    <w:rsid w:val="00B64E46"/>
    <w:rsid w:val="00B64FFA"/>
    <w:rsid w:val="00B701ED"/>
    <w:rsid w:val="00B73992"/>
    <w:rsid w:val="00B75692"/>
    <w:rsid w:val="00B757BA"/>
    <w:rsid w:val="00B75DA0"/>
    <w:rsid w:val="00B800C6"/>
    <w:rsid w:val="00B8063D"/>
    <w:rsid w:val="00B8086C"/>
    <w:rsid w:val="00B82B7A"/>
    <w:rsid w:val="00B85A04"/>
    <w:rsid w:val="00B861B4"/>
    <w:rsid w:val="00B86DFE"/>
    <w:rsid w:val="00B86E0F"/>
    <w:rsid w:val="00B875DE"/>
    <w:rsid w:val="00B9015E"/>
    <w:rsid w:val="00B90990"/>
    <w:rsid w:val="00B922FF"/>
    <w:rsid w:val="00B9281E"/>
    <w:rsid w:val="00B9318C"/>
    <w:rsid w:val="00B935A9"/>
    <w:rsid w:val="00B93925"/>
    <w:rsid w:val="00B93ECF"/>
    <w:rsid w:val="00B94644"/>
    <w:rsid w:val="00B94BB8"/>
    <w:rsid w:val="00B95187"/>
    <w:rsid w:val="00B9737B"/>
    <w:rsid w:val="00B97515"/>
    <w:rsid w:val="00B9776F"/>
    <w:rsid w:val="00BA136E"/>
    <w:rsid w:val="00BA20ED"/>
    <w:rsid w:val="00BA2192"/>
    <w:rsid w:val="00BA2D55"/>
    <w:rsid w:val="00BA3682"/>
    <w:rsid w:val="00BA71B1"/>
    <w:rsid w:val="00BA7BC7"/>
    <w:rsid w:val="00BB0042"/>
    <w:rsid w:val="00BB0637"/>
    <w:rsid w:val="00BB2DA4"/>
    <w:rsid w:val="00BB345F"/>
    <w:rsid w:val="00BB43B0"/>
    <w:rsid w:val="00BB49B4"/>
    <w:rsid w:val="00BB522A"/>
    <w:rsid w:val="00BB5F59"/>
    <w:rsid w:val="00BB68EA"/>
    <w:rsid w:val="00BB7C25"/>
    <w:rsid w:val="00BC116C"/>
    <w:rsid w:val="00BC1C27"/>
    <w:rsid w:val="00BC2B0A"/>
    <w:rsid w:val="00BC3BA1"/>
    <w:rsid w:val="00BC3E39"/>
    <w:rsid w:val="00BC47F6"/>
    <w:rsid w:val="00BC4A8F"/>
    <w:rsid w:val="00BC55DC"/>
    <w:rsid w:val="00BC6A7A"/>
    <w:rsid w:val="00BC6BBF"/>
    <w:rsid w:val="00BD0199"/>
    <w:rsid w:val="00BD0653"/>
    <w:rsid w:val="00BD068E"/>
    <w:rsid w:val="00BD128F"/>
    <w:rsid w:val="00BD1572"/>
    <w:rsid w:val="00BD16E4"/>
    <w:rsid w:val="00BD5666"/>
    <w:rsid w:val="00BD5DBD"/>
    <w:rsid w:val="00BD6B6E"/>
    <w:rsid w:val="00BE0714"/>
    <w:rsid w:val="00BE0A7E"/>
    <w:rsid w:val="00BE14E3"/>
    <w:rsid w:val="00BE1A3E"/>
    <w:rsid w:val="00BE1EF4"/>
    <w:rsid w:val="00BE3774"/>
    <w:rsid w:val="00BE41E5"/>
    <w:rsid w:val="00BE706B"/>
    <w:rsid w:val="00BF0141"/>
    <w:rsid w:val="00BF2A5C"/>
    <w:rsid w:val="00BF4109"/>
    <w:rsid w:val="00BF47B4"/>
    <w:rsid w:val="00BF4CC3"/>
    <w:rsid w:val="00C00432"/>
    <w:rsid w:val="00C00899"/>
    <w:rsid w:val="00C009EF"/>
    <w:rsid w:val="00C0140B"/>
    <w:rsid w:val="00C015B2"/>
    <w:rsid w:val="00C0348E"/>
    <w:rsid w:val="00C03DDA"/>
    <w:rsid w:val="00C04FB7"/>
    <w:rsid w:val="00C054C7"/>
    <w:rsid w:val="00C057B5"/>
    <w:rsid w:val="00C06E15"/>
    <w:rsid w:val="00C10B5D"/>
    <w:rsid w:val="00C11811"/>
    <w:rsid w:val="00C1262B"/>
    <w:rsid w:val="00C141A2"/>
    <w:rsid w:val="00C149C9"/>
    <w:rsid w:val="00C17340"/>
    <w:rsid w:val="00C173B6"/>
    <w:rsid w:val="00C17DB3"/>
    <w:rsid w:val="00C17F10"/>
    <w:rsid w:val="00C2044C"/>
    <w:rsid w:val="00C21987"/>
    <w:rsid w:val="00C222AC"/>
    <w:rsid w:val="00C22687"/>
    <w:rsid w:val="00C22824"/>
    <w:rsid w:val="00C24185"/>
    <w:rsid w:val="00C24C00"/>
    <w:rsid w:val="00C26B19"/>
    <w:rsid w:val="00C277A8"/>
    <w:rsid w:val="00C303A1"/>
    <w:rsid w:val="00C30D63"/>
    <w:rsid w:val="00C315B7"/>
    <w:rsid w:val="00C32DC1"/>
    <w:rsid w:val="00C32E4D"/>
    <w:rsid w:val="00C333A0"/>
    <w:rsid w:val="00C36408"/>
    <w:rsid w:val="00C36A81"/>
    <w:rsid w:val="00C414F7"/>
    <w:rsid w:val="00C41974"/>
    <w:rsid w:val="00C427B3"/>
    <w:rsid w:val="00C44494"/>
    <w:rsid w:val="00C4478C"/>
    <w:rsid w:val="00C478D2"/>
    <w:rsid w:val="00C53F4A"/>
    <w:rsid w:val="00C54125"/>
    <w:rsid w:val="00C55B54"/>
    <w:rsid w:val="00C569A0"/>
    <w:rsid w:val="00C56D35"/>
    <w:rsid w:val="00C571B7"/>
    <w:rsid w:val="00C6098E"/>
    <w:rsid w:val="00C611D8"/>
    <w:rsid w:val="00C6152C"/>
    <w:rsid w:val="00C62EF5"/>
    <w:rsid w:val="00C63990"/>
    <w:rsid w:val="00C64EF6"/>
    <w:rsid w:val="00C65050"/>
    <w:rsid w:val="00C654A8"/>
    <w:rsid w:val="00C66573"/>
    <w:rsid w:val="00C66F0E"/>
    <w:rsid w:val="00C67E4E"/>
    <w:rsid w:val="00C706D0"/>
    <w:rsid w:val="00C70C81"/>
    <w:rsid w:val="00C713EE"/>
    <w:rsid w:val="00C71678"/>
    <w:rsid w:val="00C73158"/>
    <w:rsid w:val="00C73EBC"/>
    <w:rsid w:val="00C74810"/>
    <w:rsid w:val="00C749E3"/>
    <w:rsid w:val="00C7561C"/>
    <w:rsid w:val="00C7738C"/>
    <w:rsid w:val="00C83599"/>
    <w:rsid w:val="00C85B82"/>
    <w:rsid w:val="00C909FF"/>
    <w:rsid w:val="00C90D68"/>
    <w:rsid w:val="00C91601"/>
    <w:rsid w:val="00C92631"/>
    <w:rsid w:val="00C92826"/>
    <w:rsid w:val="00C92C9C"/>
    <w:rsid w:val="00C939FE"/>
    <w:rsid w:val="00C971BB"/>
    <w:rsid w:val="00CA009C"/>
    <w:rsid w:val="00CA1CB3"/>
    <w:rsid w:val="00CA1E2D"/>
    <w:rsid w:val="00CA4BDA"/>
    <w:rsid w:val="00CA5CE0"/>
    <w:rsid w:val="00CA7C6D"/>
    <w:rsid w:val="00CB051C"/>
    <w:rsid w:val="00CB1A93"/>
    <w:rsid w:val="00CB1F66"/>
    <w:rsid w:val="00CB2951"/>
    <w:rsid w:val="00CB3194"/>
    <w:rsid w:val="00CB3C39"/>
    <w:rsid w:val="00CB4117"/>
    <w:rsid w:val="00CB5454"/>
    <w:rsid w:val="00CB7532"/>
    <w:rsid w:val="00CB7FA9"/>
    <w:rsid w:val="00CC0E42"/>
    <w:rsid w:val="00CC25D0"/>
    <w:rsid w:val="00CC2DDB"/>
    <w:rsid w:val="00CC3187"/>
    <w:rsid w:val="00CC3628"/>
    <w:rsid w:val="00CC3FE5"/>
    <w:rsid w:val="00CC4979"/>
    <w:rsid w:val="00CC61B6"/>
    <w:rsid w:val="00CC71E6"/>
    <w:rsid w:val="00CD06EA"/>
    <w:rsid w:val="00CD14E7"/>
    <w:rsid w:val="00CD16F8"/>
    <w:rsid w:val="00CD282B"/>
    <w:rsid w:val="00CD2945"/>
    <w:rsid w:val="00CD3B1B"/>
    <w:rsid w:val="00CD4C35"/>
    <w:rsid w:val="00CD5BEE"/>
    <w:rsid w:val="00CD713A"/>
    <w:rsid w:val="00CD7369"/>
    <w:rsid w:val="00CD73A7"/>
    <w:rsid w:val="00CD794D"/>
    <w:rsid w:val="00CD7DF7"/>
    <w:rsid w:val="00CE0B0E"/>
    <w:rsid w:val="00CE3831"/>
    <w:rsid w:val="00CE4627"/>
    <w:rsid w:val="00CE4F11"/>
    <w:rsid w:val="00CE74D5"/>
    <w:rsid w:val="00CF00BA"/>
    <w:rsid w:val="00CF0D66"/>
    <w:rsid w:val="00CF4AAC"/>
    <w:rsid w:val="00CF5176"/>
    <w:rsid w:val="00CF56A8"/>
    <w:rsid w:val="00CF5F01"/>
    <w:rsid w:val="00CF7108"/>
    <w:rsid w:val="00D00ABB"/>
    <w:rsid w:val="00D02084"/>
    <w:rsid w:val="00D029E1"/>
    <w:rsid w:val="00D02EEC"/>
    <w:rsid w:val="00D03551"/>
    <w:rsid w:val="00D06A63"/>
    <w:rsid w:val="00D07E0E"/>
    <w:rsid w:val="00D11478"/>
    <w:rsid w:val="00D128F3"/>
    <w:rsid w:val="00D12BBE"/>
    <w:rsid w:val="00D15595"/>
    <w:rsid w:val="00D15ED0"/>
    <w:rsid w:val="00D1671F"/>
    <w:rsid w:val="00D21B3E"/>
    <w:rsid w:val="00D21FED"/>
    <w:rsid w:val="00D24251"/>
    <w:rsid w:val="00D246E7"/>
    <w:rsid w:val="00D24A6A"/>
    <w:rsid w:val="00D250D7"/>
    <w:rsid w:val="00D343E2"/>
    <w:rsid w:val="00D35851"/>
    <w:rsid w:val="00D35A9D"/>
    <w:rsid w:val="00D361A2"/>
    <w:rsid w:val="00D36640"/>
    <w:rsid w:val="00D37C1F"/>
    <w:rsid w:val="00D37FBF"/>
    <w:rsid w:val="00D40619"/>
    <w:rsid w:val="00D40F79"/>
    <w:rsid w:val="00D41C2B"/>
    <w:rsid w:val="00D42AFF"/>
    <w:rsid w:val="00D43229"/>
    <w:rsid w:val="00D44C2E"/>
    <w:rsid w:val="00D45414"/>
    <w:rsid w:val="00D46DE5"/>
    <w:rsid w:val="00D50CE1"/>
    <w:rsid w:val="00D51B33"/>
    <w:rsid w:val="00D53D84"/>
    <w:rsid w:val="00D54BC0"/>
    <w:rsid w:val="00D56307"/>
    <w:rsid w:val="00D566BD"/>
    <w:rsid w:val="00D576CF"/>
    <w:rsid w:val="00D57A2E"/>
    <w:rsid w:val="00D57A4D"/>
    <w:rsid w:val="00D60AA7"/>
    <w:rsid w:val="00D6435F"/>
    <w:rsid w:val="00D65026"/>
    <w:rsid w:val="00D65322"/>
    <w:rsid w:val="00D677C4"/>
    <w:rsid w:val="00D7187A"/>
    <w:rsid w:val="00D74309"/>
    <w:rsid w:val="00D75982"/>
    <w:rsid w:val="00D75D5E"/>
    <w:rsid w:val="00D75E28"/>
    <w:rsid w:val="00D772C2"/>
    <w:rsid w:val="00D77441"/>
    <w:rsid w:val="00D779FC"/>
    <w:rsid w:val="00D8008E"/>
    <w:rsid w:val="00D817D6"/>
    <w:rsid w:val="00D82BCC"/>
    <w:rsid w:val="00D82C45"/>
    <w:rsid w:val="00D830F1"/>
    <w:rsid w:val="00D845E6"/>
    <w:rsid w:val="00D908A8"/>
    <w:rsid w:val="00D94872"/>
    <w:rsid w:val="00D95FBD"/>
    <w:rsid w:val="00D96347"/>
    <w:rsid w:val="00D96B62"/>
    <w:rsid w:val="00D977B6"/>
    <w:rsid w:val="00DA1B9B"/>
    <w:rsid w:val="00DA25BB"/>
    <w:rsid w:val="00DA431F"/>
    <w:rsid w:val="00DA462B"/>
    <w:rsid w:val="00DA4A31"/>
    <w:rsid w:val="00DA663B"/>
    <w:rsid w:val="00DA78E2"/>
    <w:rsid w:val="00DA7A22"/>
    <w:rsid w:val="00DA7B04"/>
    <w:rsid w:val="00DB0034"/>
    <w:rsid w:val="00DB1083"/>
    <w:rsid w:val="00DB1D68"/>
    <w:rsid w:val="00DB36C2"/>
    <w:rsid w:val="00DB397D"/>
    <w:rsid w:val="00DB4D5B"/>
    <w:rsid w:val="00DB5B98"/>
    <w:rsid w:val="00DB7333"/>
    <w:rsid w:val="00DC0130"/>
    <w:rsid w:val="00DC0798"/>
    <w:rsid w:val="00DC169B"/>
    <w:rsid w:val="00DC2AB9"/>
    <w:rsid w:val="00DC50E6"/>
    <w:rsid w:val="00DC63F0"/>
    <w:rsid w:val="00DC723F"/>
    <w:rsid w:val="00DD25EF"/>
    <w:rsid w:val="00DD3951"/>
    <w:rsid w:val="00DD4747"/>
    <w:rsid w:val="00DD4AAB"/>
    <w:rsid w:val="00DD508D"/>
    <w:rsid w:val="00DD5146"/>
    <w:rsid w:val="00DD5A80"/>
    <w:rsid w:val="00DD6056"/>
    <w:rsid w:val="00DD6EE5"/>
    <w:rsid w:val="00DD7677"/>
    <w:rsid w:val="00DE0CDA"/>
    <w:rsid w:val="00DE10FA"/>
    <w:rsid w:val="00DE1426"/>
    <w:rsid w:val="00DE1BB2"/>
    <w:rsid w:val="00DE1BEB"/>
    <w:rsid w:val="00DE30BD"/>
    <w:rsid w:val="00DE386C"/>
    <w:rsid w:val="00DE4D35"/>
    <w:rsid w:val="00DE541A"/>
    <w:rsid w:val="00DE572F"/>
    <w:rsid w:val="00DE5E0D"/>
    <w:rsid w:val="00DE5E14"/>
    <w:rsid w:val="00DF0362"/>
    <w:rsid w:val="00DF098B"/>
    <w:rsid w:val="00DF11C4"/>
    <w:rsid w:val="00DF184C"/>
    <w:rsid w:val="00DF210C"/>
    <w:rsid w:val="00DF3069"/>
    <w:rsid w:val="00DF4B6A"/>
    <w:rsid w:val="00DF5C5A"/>
    <w:rsid w:val="00DF6771"/>
    <w:rsid w:val="00E00185"/>
    <w:rsid w:val="00E00436"/>
    <w:rsid w:val="00E01E65"/>
    <w:rsid w:val="00E0221B"/>
    <w:rsid w:val="00E02A34"/>
    <w:rsid w:val="00E02C09"/>
    <w:rsid w:val="00E04707"/>
    <w:rsid w:val="00E04D59"/>
    <w:rsid w:val="00E05E46"/>
    <w:rsid w:val="00E07DA1"/>
    <w:rsid w:val="00E107E3"/>
    <w:rsid w:val="00E123CB"/>
    <w:rsid w:val="00E14766"/>
    <w:rsid w:val="00E1590A"/>
    <w:rsid w:val="00E177B5"/>
    <w:rsid w:val="00E17D1A"/>
    <w:rsid w:val="00E17E42"/>
    <w:rsid w:val="00E203A4"/>
    <w:rsid w:val="00E20788"/>
    <w:rsid w:val="00E20B4C"/>
    <w:rsid w:val="00E20E13"/>
    <w:rsid w:val="00E21DBC"/>
    <w:rsid w:val="00E223CA"/>
    <w:rsid w:val="00E2272A"/>
    <w:rsid w:val="00E233EF"/>
    <w:rsid w:val="00E255CC"/>
    <w:rsid w:val="00E25896"/>
    <w:rsid w:val="00E258D9"/>
    <w:rsid w:val="00E25DA9"/>
    <w:rsid w:val="00E26720"/>
    <w:rsid w:val="00E275D7"/>
    <w:rsid w:val="00E2796A"/>
    <w:rsid w:val="00E27DBE"/>
    <w:rsid w:val="00E30AF7"/>
    <w:rsid w:val="00E31471"/>
    <w:rsid w:val="00E32AB1"/>
    <w:rsid w:val="00E35635"/>
    <w:rsid w:val="00E35FDE"/>
    <w:rsid w:val="00E36C71"/>
    <w:rsid w:val="00E373F5"/>
    <w:rsid w:val="00E37C32"/>
    <w:rsid w:val="00E40404"/>
    <w:rsid w:val="00E40595"/>
    <w:rsid w:val="00E44BBA"/>
    <w:rsid w:val="00E4529A"/>
    <w:rsid w:val="00E459C6"/>
    <w:rsid w:val="00E4649B"/>
    <w:rsid w:val="00E47589"/>
    <w:rsid w:val="00E47E00"/>
    <w:rsid w:val="00E500E4"/>
    <w:rsid w:val="00E50202"/>
    <w:rsid w:val="00E50BE0"/>
    <w:rsid w:val="00E52AE9"/>
    <w:rsid w:val="00E53846"/>
    <w:rsid w:val="00E53F5B"/>
    <w:rsid w:val="00E54139"/>
    <w:rsid w:val="00E5596B"/>
    <w:rsid w:val="00E55A34"/>
    <w:rsid w:val="00E56D1A"/>
    <w:rsid w:val="00E61C08"/>
    <w:rsid w:val="00E62E5C"/>
    <w:rsid w:val="00E63635"/>
    <w:rsid w:val="00E63A6B"/>
    <w:rsid w:val="00E64018"/>
    <w:rsid w:val="00E64915"/>
    <w:rsid w:val="00E661D4"/>
    <w:rsid w:val="00E675D7"/>
    <w:rsid w:val="00E70091"/>
    <w:rsid w:val="00E70D87"/>
    <w:rsid w:val="00E720F5"/>
    <w:rsid w:val="00E73E4B"/>
    <w:rsid w:val="00E73F71"/>
    <w:rsid w:val="00E74562"/>
    <w:rsid w:val="00E74DF5"/>
    <w:rsid w:val="00E758E9"/>
    <w:rsid w:val="00E76347"/>
    <w:rsid w:val="00E76D47"/>
    <w:rsid w:val="00E76F99"/>
    <w:rsid w:val="00E77CB3"/>
    <w:rsid w:val="00E80317"/>
    <w:rsid w:val="00E808F5"/>
    <w:rsid w:val="00E820FA"/>
    <w:rsid w:val="00E833F8"/>
    <w:rsid w:val="00E8428F"/>
    <w:rsid w:val="00E849F7"/>
    <w:rsid w:val="00E8586A"/>
    <w:rsid w:val="00E86BBB"/>
    <w:rsid w:val="00E87800"/>
    <w:rsid w:val="00E90302"/>
    <w:rsid w:val="00E9251C"/>
    <w:rsid w:val="00E92D33"/>
    <w:rsid w:val="00E96BA1"/>
    <w:rsid w:val="00E97396"/>
    <w:rsid w:val="00EA15BA"/>
    <w:rsid w:val="00EA185E"/>
    <w:rsid w:val="00EA26E7"/>
    <w:rsid w:val="00EA2D7C"/>
    <w:rsid w:val="00EA4C16"/>
    <w:rsid w:val="00EA56E4"/>
    <w:rsid w:val="00EA592A"/>
    <w:rsid w:val="00EA63FA"/>
    <w:rsid w:val="00EB1256"/>
    <w:rsid w:val="00EB14E4"/>
    <w:rsid w:val="00EB2C4E"/>
    <w:rsid w:val="00EB2D21"/>
    <w:rsid w:val="00EB2D73"/>
    <w:rsid w:val="00EB32A5"/>
    <w:rsid w:val="00EB34ED"/>
    <w:rsid w:val="00EB3E49"/>
    <w:rsid w:val="00EB5642"/>
    <w:rsid w:val="00EB5E41"/>
    <w:rsid w:val="00EB6874"/>
    <w:rsid w:val="00EB7A8A"/>
    <w:rsid w:val="00EB7BE0"/>
    <w:rsid w:val="00EB7E63"/>
    <w:rsid w:val="00EC315E"/>
    <w:rsid w:val="00EC3EED"/>
    <w:rsid w:val="00EC4DBB"/>
    <w:rsid w:val="00EC5049"/>
    <w:rsid w:val="00EC5564"/>
    <w:rsid w:val="00EC6609"/>
    <w:rsid w:val="00ED077C"/>
    <w:rsid w:val="00ED1032"/>
    <w:rsid w:val="00ED1190"/>
    <w:rsid w:val="00ED1C95"/>
    <w:rsid w:val="00ED23A0"/>
    <w:rsid w:val="00ED289F"/>
    <w:rsid w:val="00ED2ADE"/>
    <w:rsid w:val="00ED2D4A"/>
    <w:rsid w:val="00ED6544"/>
    <w:rsid w:val="00ED71CF"/>
    <w:rsid w:val="00EE0277"/>
    <w:rsid w:val="00EE32CD"/>
    <w:rsid w:val="00EE3762"/>
    <w:rsid w:val="00EE3E00"/>
    <w:rsid w:val="00EE5500"/>
    <w:rsid w:val="00EE5DD2"/>
    <w:rsid w:val="00EE600B"/>
    <w:rsid w:val="00EE7058"/>
    <w:rsid w:val="00EE76FA"/>
    <w:rsid w:val="00EF0A2E"/>
    <w:rsid w:val="00EF0F0C"/>
    <w:rsid w:val="00EF2591"/>
    <w:rsid w:val="00EF26B8"/>
    <w:rsid w:val="00EF3FCC"/>
    <w:rsid w:val="00EF40EB"/>
    <w:rsid w:val="00EF6356"/>
    <w:rsid w:val="00EF63C2"/>
    <w:rsid w:val="00EF7532"/>
    <w:rsid w:val="00EF75FE"/>
    <w:rsid w:val="00F00A79"/>
    <w:rsid w:val="00F00B88"/>
    <w:rsid w:val="00F00E86"/>
    <w:rsid w:val="00F0304D"/>
    <w:rsid w:val="00F07C1E"/>
    <w:rsid w:val="00F105DB"/>
    <w:rsid w:val="00F1176B"/>
    <w:rsid w:val="00F122D0"/>
    <w:rsid w:val="00F13083"/>
    <w:rsid w:val="00F132BC"/>
    <w:rsid w:val="00F13D80"/>
    <w:rsid w:val="00F151AB"/>
    <w:rsid w:val="00F16AAA"/>
    <w:rsid w:val="00F21161"/>
    <w:rsid w:val="00F218EF"/>
    <w:rsid w:val="00F21BC7"/>
    <w:rsid w:val="00F2377B"/>
    <w:rsid w:val="00F241D2"/>
    <w:rsid w:val="00F266A2"/>
    <w:rsid w:val="00F26BE1"/>
    <w:rsid w:val="00F32269"/>
    <w:rsid w:val="00F323E2"/>
    <w:rsid w:val="00F336C2"/>
    <w:rsid w:val="00F33FDE"/>
    <w:rsid w:val="00F376C2"/>
    <w:rsid w:val="00F40A58"/>
    <w:rsid w:val="00F40EE2"/>
    <w:rsid w:val="00F4212E"/>
    <w:rsid w:val="00F458FA"/>
    <w:rsid w:val="00F4730E"/>
    <w:rsid w:val="00F4765E"/>
    <w:rsid w:val="00F51482"/>
    <w:rsid w:val="00F5470B"/>
    <w:rsid w:val="00F55C03"/>
    <w:rsid w:val="00F5662C"/>
    <w:rsid w:val="00F56A6F"/>
    <w:rsid w:val="00F56FE1"/>
    <w:rsid w:val="00F5709C"/>
    <w:rsid w:val="00F60B8B"/>
    <w:rsid w:val="00F62A06"/>
    <w:rsid w:val="00F6449F"/>
    <w:rsid w:val="00F64EF1"/>
    <w:rsid w:val="00F66CB5"/>
    <w:rsid w:val="00F67191"/>
    <w:rsid w:val="00F67965"/>
    <w:rsid w:val="00F70283"/>
    <w:rsid w:val="00F70ED5"/>
    <w:rsid w:val="00F71371"/>
    <w:rsid w:val="00F73A6C"/>
    <w:rsid w:val="00F73C13"/>
    <w:rsid w:val="00F7412F"/>
    <w:rsid w:val="00F75639"/>
    <w:rsid w:val="00F81226"/>
    <w:rsid w:val="00F81FD1"/>
    <w:rsid w:val="00F82126"/>
    <w:rsid w:val="00F8765F"/>
    <w:rsid w:val="00F8794E"/>
    <w:rsid w:val="00F9002C"/>
    <w:rsid w:val="00F90767"/>
    <w:rsid w:val="00F9279E"/>
    <w:rsid w:val="00F92F97"/>
    <w:rsid w:val="00F97186"/>
    <w:rsid w:val="00FA011C"/>
    <w:rsid w:val="00FA069C"/>
    <w:rsid w:val="00FA2C00"/>
    <w:rsid w:val="00FA3C96"/>
    <w:rsid w:val="00FA6440"/>
    <w:rsid w:val="00FA685B"/>
    <w:rsid w:val="00FB0C01"/>
    <w:rsid w:val="00FB2B45"/>
    <w:rsid w:val="00FB2F78"/>
    <w:rsid w:val="00FB31A3"/>
    <w:rsid w:val="00FB577D"/>
    <w:rsid w:val="00FC18F2"/>
    <w:rsid w:val="00FC1DDD"/>
    <w:rsid w:val="00FC39E5"/>
    <w:rsid w:val="00FC3A78"/>
    <w:rsid w:val="00FC448C"/>
    <w:rsid w:val="00FC54C5"/>
    <w:rsid w:val="00FC5B48"/>
    <w:rsid w:val="00FC71CE"/>
    <w:rsid w:val="00FD0D90"/>
    <w:rsid w:val="00FD1005"/>
    <w:rsid w:val="00FD19A5"/>
    <w:rsid w:val="00FD3C41"/>
    <w:rsid w:val="00FD4672"/>
    <w:rsid w:val="00FD6C75"/>
    <w:rsid w:val="00FE1F59"/>
    <w:rsid w:val="00FE22E1"/>
    <w:rsid w:val="00FE2CAE"/>
    <w:rsid w:val="00FE36A8"/>
    <w:rsid w:val="00FE3BBC"/>
    <w:rsid w:val="00FE4571"/>
    <w:rsid w:val="00FE70C9"/>
    <w:rsid w:val="00FE71B3"/>
    <w:rsid w:val="00FF00E4"/>
    <w:rsid w:val="00FF21E2"/>
    <w:rsid w:val="00FF245F"/>
    <w:rsid w:val="00FF2492"/>
    <w:rsid w:val="00FF25CA"/>
    <w:rsid w:val="00FF38A5"/>
    <w:rsid w:val="00FF42C5"/>
    <w:rsid w:val="00FF49D3"/>
    <w:rsid w:val="00FF54DB"/>
    <w:rsid w:val="00FF5F7A"/>
    <w:rsid w:val="00FF689C"/>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147D8D"/>
    <w:pPr>
      <w:jc w:val="both"/>
    </w:pPr>
    <w:rPr>
      <w:rFonts w:eastAsiaTheme="minorEastAsia"/>
      <w:sz w:val="24"/>
      <w:lang w:val="en-GB"/>
    </w:rPr>
  </w:style>
  <w:style w:type="paragraph" w:styleId="Titolo1">
    <w:name w:val="heading 1"/>
    <w:basedOn w:val="Normale"/>
    <w:next w:val="Normale"/>
    <w:link w:val="Titolo1Carattere"/>
    <w:uiPriority w:val="99"/>
    <w:semiHidden/>
    <w:rsid w:val="00AD619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D619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D619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D619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D619D"/>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AD619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D619D"/>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AD619D"/>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AD619D"/>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D619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619D"/>
    <w:rPr>
      <w:rFonts w:ascii="Tahoma" w:eastAsiaTheme="minorEastAsia" w:hAnsi="Tahoma" w:cs="Tahoma"/>
      <w:sz w:val="16"/>
      <w:szCs w:val="16"/>
      <w:lang w:val="en-GB"/>
    </w:rPr>
  </w:style>
  <w:style w:type="character" w:styleId="Titolodellibro">
    <w:name w:val="Book Title"/>
    <w:uiPriority w:val="99"/>
    <w:semiHidden/>
    <w:qFormat/>
    <w:rsid w:val="00AD619D"/>
    <w:rPr>
      <w:i/>
      <w:iCs/>
      <w:smallCaps/>
      <w:spacing w:val="5"/>
    </w:rPr>
  </w:style>
  <w:style w:type="paragraph" w:customStyle="1" w:styleId="ECHRHeader">
    <w:name w:val="ECHR_Header"/>
    <w:aliases w:val="Ju_Header"/>
    <w:basedOn w:val="Intestazione"/>
    <w:uiPriority w:val="4"/>
    <w:qFormat/>
    <w:rsid w:val="00AD619D"/>
    <w:pPr>
      <w:tabs>
        <w:tab w:val="clear" w:pos="4536"/>
        <w:tab w:val="clear" w:pos="9072"/>
      </w:tabs>
      <w:jc w:val="center"/>
    </w:pPr>
    <w:rPr>
      <w:sz w:val="18"/>
    </w:rPr>
  </w:style>
  <w:style w:type="paragraph" w:customStyle="1" w:styleId="ECHRFooter">
    <w:name w:val="ECHR_Footer"/>
    <w:aliases w:val="Footer_ECHR"/>
    <w:basedOn w:val="Pidipagina"/>
    <w:uiPriority w:val="57"/>
    <w:semiHidden/>
    <w:rsid w:val="00AD619D"/>
    <w:pPr>
      <w:jc w:val="left"/>
    </w:pPr>
    <w:rPr>
      <w:sz w:val="8"/>
    </w:rPr>
  </w:style>
  <w:style w:type="character" w:styleId="Enfasigrassetto">
    <w:name w:val="Strong"/>
    <w:uiPriority w:val="99"/>
    <w:semiHidden/>
    <w:qFormat/>
    <w:rsid w:val="00AD619D"/>
    <w:rPr>
      <w:b/>
      <w:bCs/>
    </w:rPr>
  </w:style>
  <w:style w:type="paragraph" w:styleId="Nessunaspaziatura">
    <w:name w:val="No Spacing"/>
    <w:basedOn w:val="Normale"/>
    <w:link w:val="NessunaspaziaturaCarattere"/>
    <w:semiHidden/>
    <w:qFormat/>
    <w:rsid w:val="00AD619D"/>
    <w:rPr>
      <w:sz w:val="22"/>
      <w:lang w:val="en-US"/>
    </w:rPr>
  </w:style>
  <w:style w:type="character" w:customStyle="1" w:styleId="NessunaspaziaturaCarattere">
    <w:name w:val="Nessuna spaziatura Carattere"/>
    <w:basedOn w:val="Carpredefinitoparagrafo"/>
    <w:link w:val="Nessunaspaziatura"/>
    <w:semiHidden/>
    <w:rsid w:val="00AD619D"/>
    <w:rPr>
      <w:rFonts w:eastAsiaTheme="minorEastAsia"/>
    </w:rPr>
  </w:style>
  <w:style w:type="paragraph" w:customStyle="1" w:styleId="ECHRFooterLine">
    <w:name w:val="ECHR_Footer_Line"/>
    <w:aliases w:val="Footer_Line"/>
    <w:basedOn w:val="Normale"/>
    <w:next w:val="ECHRFooter"/>
    <w:uiPriority w:val="57"/>
    <w:semiHidden/>
    <w:rsid w:val="00AD619D"/>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qFormat/>
    <w:rsid w:val="00AD619D"/>
    <w:pPr>
      <w:numPr>
        <w:numId w:val="19"/>
      </w:numPr>
      <w:jc w:val="left"/>
    </w:pPr>
    <w:rPr>
      <w:b/>
    </w:rPr>
  </w:style>
  <w:style w:type="paragraph" w:customStyle="1" w:styleId="DummyStyle">
    <w:name w:val="Dummy_Style"/>
    <w:basedOn w:val="Normale"/>
    <w:semiHidden/>
    <w:qFormat/>
    <w:rsid w:val="00AD619D"/>
    <w:rPr>
      <w:color w:val="00B050"/>
    </w:rPr>
  </w:style>
  <w:style w:type="paragraph" w:customStyle="1" w:styleId="JuParaSub">
    <w:name w:val="Ju_Para_Sub"/>
    <w:basedOn w:val="ECHRPara"/>
    <w:uiPriority w:val="13"/>
    <w:qFormat/>
    <w:rsid w:val="00AD619D"/>
    <w:pPr>
      <w:ind w:left="284"/>
    </w:pPr>
  </w:style>
  <w:style w:type="paragraph" w:customStyle="1" w:styleId="ECHRTitleCentre3">
    <w:name w:val="ECHR_Title_Centre_3"/>
    <w:aliases w:val="Ju_H_Article"/>
    <w:basedOn w:val="Normale"/>
    <w:next w:val="ECHRParaQuote"/>
    <w:uiPriority w:val="27"/>
    <w:qFormat/>
    <w:rsid w:val="00AD619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AD619D"/>
    <w:pPr>
      <w:keepNext/>
      <w:keepLines/>
      <w:spacing w:after="240"/>
      <w:jc w:val="center"/>
      <w:outlineLvl w:val="0"/>
    </w:pPr>
    <w:rPr>
      <w:rFonts w:asciiTheme="majorHAnsi" w:hAnsiTheme="majorHAnsi"/>
      <w:sz w:val="28"/>
    </w:rPr>
  </w:style>
  <w:style w:type="paragraph" w:customStyle="1" w:styleId="OpiH1">
    <w:name w:val="Opi_H_1"/>
    <w:basedOn w:val="ECHRHeading2"/>
    <w:uiPriority w:val="42"/>
    <w:qFormat/>
    <w:rsid w:val="00AD619D"/>
    <w:pPr>
      <w:ind w:left="635" w:hanging="357"/>
      <w:outlineLvl w:val="2"/>
    </w:pPr>
  </w:style>
  <w:style w:type="paragraph" w:customStyle="1" w:styleId="OpiHa">
    <w:name w:val="Opi_H_a"/>
    <w:basedOn w:val="ECHRHeading3"/>
    <w:uiPriority w:val="43"/>
    <w:qFormat/>
    <w:rsid w:val="00AD619D"/>
    <w:pPr>
      <w:ind w:left="833" w:hanging="357"/>
      <w:outlineLvl w:val="3"/>
    </w:pPr>
    <w:rPr>
      <w:b/>
      <w:i w:val="0"/>
      <w:sz w:val="20"/>
    </w:rPr>
  </w:style>
  <w:style w:type="paragraph" w:customStyle="1" w:styleId="OpiHA0">
    <w:name w:val="Opi_H_A"/>
    <w:basedOn w:val="ECHRHeading1"/>
    <w:next w:val="OpiPara"/>
    <w:uiPriority w:val="41"/>
    <w:qFormat/>
    <w:rsid w:val="00AD619D"/>
    <w:pPr>
      <w:tabs>
        <w:tab w:val="clear" w:pos="357"/>
      </w:tabs>
      <w:outlineLvl w:val="1"/>
    </w:pPr>
    <w:rPr>
      <w:b/>
    </w:rPr>
  </w:style>
  <w:style w:type="paragraph" w:customStyle="1" w:styleId="ECHRTitleCentre2">
    <w:name w:val="ECHR_Title_Centre_2"/>
    <w:aliases w:val="Dec_H_Case"/>
    <w:basedOn w:val="Normale"/>
    <w:next w:val="ECHRPara"/>
    <w:uiPriority w:val="8"/>
    <w:qFormat/>
    <w:rsid w:val="00AD619D"/>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AD619D"/>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AD619D"/>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AD619D"/>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AD619D"/>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D619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AD619D"/>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AD619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AD619D"/>
    <w:pPr>
      <w:keepNext/>
      <w:keepLines/>
      <w:spacing w:before="240" w:after="120"/>
      <w:ind w:left="1236"/>
    </w:pPr>
    <w:rPr>
      <w:sz w:val="20"/>
      <w:lang w:val="en-GB"/>
    </w:rPr>
  </w:style>
  <w:style w:type="paragraph" w:customStyle="1" w:styleId="JuQuotSub">
    <w:name w:val="Ju_Quot_Sub"/>
    <w:basedOn w:val="ECHRParaQuote"/>
    <w:uiPriority w:val="15"/>
    <w:qFormat/>
    <w:rsid w:val="00AD619D"/>
    <w:pPr>
      <w:ind w:left="567"/>
    </w:pPr>
  </w:style>
  <w:style w:type="paragraph" w:customStyle="1" w:styleId="JuInitialled">
    <w:name w:val="Ju_Initialled"/>
    <w:basedOn w:val="Normale"/>
    <w:uiPriority w:val="31"/>
    <w:qFormat/>
    <w:rsid w:val="00AD619D"/>
    <w:pPr>
      <w:tabs>
        <w:tab w:val="center" w:pos="6407"/>
      </w:tabs>
      <w:spacing w:before="720"/>
      <w:jc w:val="right"/>
    </w:pPr>
  </w:style>
  <w:style w:type="paragraph" w:customStyle="1" w:styleId="OpiHi">
    <w:name w:val="Opi_H_i"/>
    <w:basedOn w:val="ECHRHeading4"/>
    <w:uiPriority w:val="44"/>
    <w:qFormat/>
    <w:rsid w:val="00AD619D"/>
    <w:pPr>
      <w:ind w:left="1037" w:hanging="357"/>
      <w:outlineLvl w:val="4"/>
    </w:pPr>
    <w:rPr>
      <w:b w:val="0"/>
      <w:i/>
    </w:rPr>
  </w:style>
  <w:style w:type="paragraph" w:styleId="Intestazione">
    <w:name w:val="header"/>
    <w:basedOn w:val="Normale"/>
    <w:link w:val="IntestazioneCarattere"/>
    <w:uiPriority w:val="57"/>
    <w:semiHidden/>
    <w:rsid w:val="00AD619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D619D"/>
    <w:rPr>
      <w:sz w:val="24"/>
      <w:lang w:val="en-GB"/>
    </w:rPr>
  </w:style>
  <w:style w:type="character" w:customStyle="1" w:styleId="Titolo1Carattere">
    <w:name w:val="Titolo 1 Carattere"/>
    <w:basedOn w:val="Carpredefinitoparagrafo"/>
    <w:link w:val="Titolo1"/>
    <w:uiPriority w:val="99"/>
    <w:semiHidden/>
    <w:rsid w:val="00AD619D"/>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AD619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D619D"/>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AD619D"/>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AD619D"/>
    <w:rPr>
      <w:caps w:val="0"/>
      <w:smallCaps/>
    </w:rPr>
  </w:style>
  <w:style w:type="paragraph" w:customStyle="1" w:styleId="ECHRDecisionBody">
    <w:name w:val="ECHR_Decision_Body"/>
    <w:aliases w:val="Ju_Judges"/>
    <w:basedOn w:val="Normale"/>
    <w:uiPriority w:val="11"/>
    <w:qFormat/>
    <w:rsid w:val="00AD619D"/>
    <w:pPr>
      <w:tabs>
        <w:tab w:val="left" w:pos="567"/>
        <w:tab w:val="left" w:pos="1134"/>
      </w:tabs>
      <w:jc w:val="left"/>
    </w:pPr>
  </w:style>
  <w:style w:type="character" w:customStyle="1" w:styleId="Titolo3Carattere">
    <w:name w:val="Titolo 3 Carattere"/>
    <w:basedOn w:val="Carpredefinitoparagrafo"/>
    <w:link w:val="Titolo3"/>
    <w:uiPriority w:val="99"/>
    <w:semiHidden/>
    <w:rsid w:val="00AD619D"/>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uiPriority w:val="12"/>
    <w:qFormat/>
    <w:rsid w:val="00AD619D"/>
    <w:pPr>
      <w:ind w:firstLine="284"/>
    </w:pPr>
  </w:style>
  <w:style w:type="character" w:customStyle="1" w:styleId="Titolo4Carattere">
    <w:name w:val="Titolo 4 Carattere"/>
    <w:basedOn w:val="Carpredefinitoparagrafo"/>
    <w:link w:val="Titolo4"/>
    <w:uiPriority w:val="99"/>
    <w:semiHidden/>
    <w:rsid w:val="00AD619D"/>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AD619D"/>
    <w:rPr>
      <w:rFonts w:asciiTheme="majorHAnsi" w:eastAsiaTheme="majorEastAsia" w:hAnsiTheme="majorHAnsi" w:cstheme="majorBidi"/>
      <w:b/>
      <w:bCs/>
      <w:color w:val="808080"/>
    </w:rPr>
  </w:style>
  <w:style w:type="character" w:styleId="Enfasidelicata">
    <w:name w:val="Subtle Emphasis"/>
    <w:uiPriority w:val="99"/>
    <w:semiHidden/>
    <w:qFormat/>
    <w:rsid w:val="00AD619D"/>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AD619D"/>
    <w:pPr>
      <w:keepNext/>
      <w:keepLines/>
      <w:spacing w:before="720" w:after="240"/>
      <w:outlineLvl w:val="0"/>
    </w:pPr>
    <w:rPr>
      <w:rFonts w:asciiTheme="majorHAnsi" w:hAnsiTheme="majorHAnsi"/>
      <w:sz w:val="28"/>
    </w:rPr>
  </w:style>
  <w:style w:type="character" w:styleId="Enfasicorsivo">
    <w:name w:val="Emphasis"/>
    <w:uiPriority w:val="99"/>
    <w:semiHidden/>
    <w:qFormat/>
    <w:rsid w:val="00AD619D"/>
    <w:rPr>
      <w:b/>
      <w:bCs/>
      <w:i/>
      <w:iCs/>
      <w:spacing w:val="10"/>
      <w:bdr w:val="none" w:sz="0" w:space="0" w:color="auto"/>
      <w:shd w:val="clear" w:color="auto" w:fill="auto"/>
    </w:rPr>
  </w:style>
  <w:style w:type="paragraph" w:styleId="Pidipagina">
    <w:name w:val="footer"/>
    <w:basedOn w:val="Normale"/>
    <w:link w:val="PidipaginaCarattere"/>
    <w:uiPriority w:val="57"/>
    <w:semiHidden/>
    <w:rsid w:val="00AD619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D619D"/>
    <w:rPr>
      <w:sz w:val="24"/>
      <w:lang w:val="en-GB"/>
    </w:rPr>
  </w:style>
  <w:style w:type="character" w:styleId="Rimandonotaapidipagina">
    <w:name w:val="footnote reference"/>
    <w:basedOn w:val="Carpredefinitoparagrafo"/>
    <w:uiPriority w:val="99"/>
    <w:semiHidden/>
    <w:rsid w:val="00AD619D"/>
    <w:rPr>
      <w:vertAlign w:val="superscript"/>
    </w:rPr>
  </w:style>
  <w:style w:type="paragraph" w:styleId="Testonotaapidipagina">
    <w:name w:val="footnote text"/>
    <w:basedOn w:val="Normale"/>
    <w:link w:val="TestonotaapidipaginaCarattere"/>
    <w:uiPriority w:val="99"/>
    <w:semiHidden/>
    <w:rsid w:val="00AD619D"/>
    <w:rPr>
      <w:sz w:val="20"/>
      <w:szCs w:val="20"/>
    </w:rPr>
  </w:style>
  <w:style w:type="character" w:customStyle="1" w:styleId="TestonotaapidipaginaCarattere">
    <w:name w:val="Testo nota a piè di pagina Carattere"/>
    <w:basedOn w:val="Carpredefinitoparagrafo"/>
    <w:link w:val="Testonotaapidipagina"/>
    <w:uiPriority w:val="99"/>
    <w:semiHidden/>
    <w:rsid w:val="00AD619D"/>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AD619D"/>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AD619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D619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D619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D619D"/>
    <w:rPr>
      <w:color w:val="0072BC" w:themeColor="hyperlink"/>
      <w:u w:val="single"/>
    </w:rPr>
  </w:style>
  <w:style w:type="character" w:styleId="Enfasiintensa">
    <w:name w:val="Intense Emphasis"/>
    <w:uiPriority w:val="99"/>
    <w:semiHidden/>
    <w:qFormat/>
    <w:rsid w:val="00AD619D"/>
    <w:rPr>
      <w:b/>
      <w:bCs/>
    </w:rPr>
  </w:style>
  <w:style w:type="paragraph" w:styleId="Citazioneintensa">
    <w:name w:val="Intense Quote"/>
    <w:basedOn w:val="Normale"/>
    <w:next w:val="Normale"/>
    <w:link w:val="CitazioneintensaCarattere"/>
    <w:uiPriority w:val="99"/>
    <w:semiHidden/>
    <w:qFormat/>
    <w:rsid w:val="00AD619D"/>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AD619D"/>
    <w:rPr>
      <w:rFonts w:eastAsiaTheme="minorEastAsia"/>
      <w:b/>
      <w:bCs/>
      <w:i/>
      <w:iCs/>
      <w:lang w:bidi="en-US"/>
    </w:rPr>
  </w:style>
  <w:style w:type="character" w:styleId="Riferimentointenso">
    <w:name w:val="Intense Reference"/>
    <w:uiPriority w:val="99"/>
    <w:semiHidden/>
    <w:qFormat/>
    <w:rsid w:val="00AD619D"/>
    <w:rPr>
      <w:smallCaps/>
      <w:spacing w:val="5"/>
      <w:u w:val="single"/>
    </w:rPr>
  </w:style>
  <w:style w:type="paragraph" w:styleId="Paragrafoelenco">
    <w:name w:val="List Paragraph"/>
    <w:basedOn w:val="Normale"/>
    <w:uiPriority w:val="99"/>
    <w:semiHidden/>
    <w:qFormat/>
    <w:rsid w:val="00AD619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D619D"/>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AD619D"/>
    <w:rPr>
      <w:rFonts w:eastAsiaTheme="minorEastAsia"/>
      <w:i/>
      <w:iCs/>
      <w:lang w:bidi="en-US"/>
    </w:rPr>
  </w:style>
  <w:style w:type="character" w:styleId="Riferimentodelicato">
    <w:name w:val="Subtle Reference"/>
    <w:uiPriority w:val="99"/>
    <w:semiHidden/>
    <w:qFormat/>
    <w:rsid w:val="00AD619D"/>
    <w:rPr>
      <w:smallCaps/>
    </w:rPr>
  </w:style>
  <w:style w:type="table" w:styleId="Grigliatabella">
    <w:name w:val="Table Grid"/>
    <w:basedOn w:val="Tabellanormale"/>
    <w:uiPriority w:val="59"/>
    <w:semiHidden/>
    <w:rsid w:val="00AD619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D619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D619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D619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D619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D619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D619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D619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AD619D"/>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D619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AD619D"/>
    <w:pPr>
      <w:tabs>
        <w:tab w:val="center" w:pos="851"/>
        <w:tab w:val="center" w:pos="6407"/>
      </w:tabs>
      <w:spacing w:before="720"/>
      <w:jc w:val="left"/>
    </w:pPr>
  </w:style>
  <w:style w:type="paragraph" w:customStyle="1" w:styleId="JuParaLast">
    <w:name w:val="Ju_Para_Last"/>
    <w:basedOn w:val="Normale"/>
    <w:next w:val="ECHRPara"/>
    <w:uiPriority w:val="30"/>
    <w:qFormat/>
    <w:rsid w:val="00AD619D"/>
    <w:pPr>
      <w:keepNext/>
      <w:keepLines/>
      <w:spacing w:before="240"/>
      <w:ind w:firstLine="284"/>
    </w:pPr>
  </w:style>
  <w:style w:type="paragraph" w:customStyle="1" w:styleId="JuCase">
    <w:name w:val="Ju_Case"/>
    <w:basedOn w:val="Normale"/>
    <w:next w:val="ECHRPara"/>
    <w:uiPriority w:val="10"/>
    <w:rsid w:val="00AD619D"/>
    <w:pPr>
      <w:ind w:firstLine="284"/>
    </w:pPr>
    <w:rPr>
      <w:b/>
    </w:rPr>
  </w:style>
  <w:style w:type="paragraph" w:customStyle="1" w:styleId="JuList">
    <w:name w:val="Ju_List"/>
    <w:basedOn w:val="Normale"/>
    <w:uiPriority w:val="28"/>
    <w:qFormat/>
    <w:rsid w:val="00AD619D"/>
    <w:pPr>
      <w:ind w:left="340" w:hanging="340"/>
    </w:pPr>
  </w:style>
  <w:style w:type="paragraph" w:customStyle="1" w:styleId="OpiPara">
    <w:name w:val="Opi_Para"/>
    <w:basedOn w:val="ECHRPara"/>
    <w:uiPriority w:val="46"/>
    <w:qFormat/>
    <w:rsid w:val="00AD619D"/>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AD619D"/>
    <w:pPr>
      <w:ind w:left="346" w:firstLine="0"/>
    </w:pPr>
  </w:style>
  <w:style w:type="paragraph" w:customStyle="1" w:styleId="JuListi">
    <w:name w:val="Ju_List_i"/>
    <w:basedOn w:val="Normale"/>
    <w:next w:val="JuLista"/>
    <w:uiPriority w:val="28"/>
    <w:qFormat/>
    <w:rsid w:val="00AD619D"/>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semiHidden/>
    <w:rsid w:val="00E77CB3"/>
    <w:rPr>
      <w:rFonts w:eastAsiaTheme="minorEastAsia"/>
      <w:sz w:val="20"/>
    </w:rPr>
  </w:style>
  <w:style w:type="character" w:styleId="Rimandonotadichiusura">
    <w:name w:val="endnote reference"/>
    <w:basedOn w:val="Carpredefinitoparagrafo"/>
    <w:uiPriority w:val="99"/>
    <w:semiHidden/>
    <w:rsid w:val="00AD619D"/>
    <w:rPr>
      <w:vertAlign w:val="superscript"/>
    </w:rPr>
  </w:style>
  <w:style w:type="paragraph" w:styleId="Testonotadichiusura">
    <w:name w:val="endnote text"/>
    <w:basedOn w:val="Normale"/>
    <w:link w:val="TestonotadichiusuraCarattere"/>
    <w:uiPriority w:val="99"/>
    <w:semiHidden/>
    <w:rsid w:val="00AD619D"/>
    <w:rPr>
      <w:sz w:val="20"/>
      <w:szCs w:val="20"/>
    </w:rPr>
  </w:style>
  <w:style w:type="character" w:customStyle="1" w:styleId="TestonotadichiusuraCarattere">
    <w:name w:val="Testo nota di chiusura Carattere"/>
    <w:basedOn w:val="Carpredefinitoparagrafo"/>
    <w:link w:val="Testonotadichiusura"/>
    <w:uiPriority w:val="99"/>
    <w:semiHidden/>
    <w:rsid w:val="00AD619D"/>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AD619D"/>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AD619D"/>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AD619D"/>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unhideWhenUsed/>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AD619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D619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D619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DecHTitle">
    <w:name w:val="Dec_H_Title"/>
    <w:basedOn w:val="ECHRTitleCentre1"/>
    <w:uiPriority w:val="7"/>
    <w:qFormat/>
    <w:rsid w:val="00AD619D"/>
  </w:style>
  <w:style w:type="paragraph" w:customStyle="1" w:styleId="JuCourt">
    <w:name w:val="Ju_Court"/>
    <w:basedOn w:val="Normale"/>
    <w:next w:val="Normale"/>
    <w:uiPriority w:val="16"/>
    <w:qFormat/>
    <w:rsid w:val="00AD619D"/>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qFormat/>
    <w:rsid w:val="00AD619D"/>
    <w:pPr>
      <w:spacing w:before="240"/>
      <w:ind w:left="284"/>
    </w:pPr>
  </w:style>
  <w:style w:type="paragraph" w:customStyle="1" w:styleId="OpiParaSub">
    <w:name w:val="Opi_Para_Sub"/>
    <w:basedOn w:val="JuParaSub"/>
    <w:uiPriority w:val="47"/>
    <w:qFormat/>
    <w:rsid w:val="00AD619D"/>
  </w:style>
  <w:style w:type="paragraph" w:customStyle="1" w:styleId="OpiQuot">
    <w:name w:val="Opi_Quot"/>
    <w:basedOn w:val="ECHRParaQuote"/>
    <w:uiPriority w:val="48"/>
    <w:qFormat/>
    <w:rsid w:val="00AD619D"/>
  </w:style>
  <w:style w:type="paragraph" w:customStyle="1" w:styleId="OpiQuotSub">
    <w:name w:val="Opi_Quot_Sub"/>
    <w:basedOn w:val="JuQuotSub"/>
    <w:uiPriority w:val="49"/>
    <w:qFormat/>
    <w:rsid w:val="00AD619D"/>
  </w:style>
  <w:style w:type="paragraph" w:customStyle="1" w:styleId="OpiTranslation">
    <w:name w:val="Opi_Translation"/>
    <w:basedOn w:val="Normale"/>
    <w:next w:val="OpiPara"/>
    <w:uiPriority w:val="40"/>
    <w:qFormat/>
    <w:rsid w:val="00AD619D"/>
    <w:pPr>
      <w:jc w:val="center"/>
      <w:outlineLvl w:val="0"/>
    </w:pPr>
    <w:rPr>
      <w:i/>
    </w:rPr>
  </w:style>
  <w:style w:type="paragraph" w:customStyle="1" w:styleId="JuHeaderLandscape">
    <w:name w:val="Ju_Header_Landscape"/>
    <w:basedOn w:val="ECHRHeader"/>
    <w:uiPriority w:val="4"/>
    <w:rsid w:val="00B152B9"/>
    <w:pPr>
      <w:tabs>
        <w:tab w:val="center" w:pos="6146"/>
        <w:tab w:val="right" w:pos="12293"/>
      </w:tabs>
    </w:pPr>
  </w:style>
  <w:style w:type="paragraph" w:customStyle="1" w:styleId="ECHRSpacer">
    <w:name w:val="ECHR_Spacer"/>
    <w:basedOn w:val="Normale"/>
    <w:uiPriority w:val="45"/>
    <w:rsid w:val="00AA755B"/>
    <w:pPr>
      <w:jc w:val="left"/>
    </w:pPr>
    <w:rPr>
      <w:rFonts w:eastAsiaTheme="minorHAnsi"/>
      <w:sz w:val="4"/>
    </w:rPr>
  </w:style>
  <w:style w:type="character" w:customStyle="1" w:styleId="apple-converted-space">
    <w:name w:val="apple-converted-space"/>
    <w:basedOn w:val="Carpredefinitoparagrafo"/>
    <w:rsid w:val="00147D8D"/>
  </w:style>
  <w:style w:type="table" w:customStyle="1" w:styleId="TableauNormal">
    <w:name w:val="Tableau Normal"/>
    <w:uiPriority w:val="99"/>
    <w:semiHidden/>
    <w:rsid w:val="00147D8D"/>
    <w:rPr>
      <w:rFonts w:eastAsia="Times New Roman"/>
      <w:sz w:val="24"/>
      <w:szCs w:val="24"/>
      <w:lang w:val="fr-FR"/>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8690">
      <w:bodyDiv w:val="1"/>
      <w:marLeft w:val="0"/>
      <w:marRight w:val="0"/>
      <w:marTop w:val="0"/>
      <w:marBottom w:val="0"/>
      <w:divBdr>
        <w:top w:val="none" w:sz="0" w:space="0" w:color="auto"/>
        <w:left w:val="none" w:sz="0" w:space="0" w:color="auto"/>
        <w:bottom w:val="none" w:sz="0" w:space="0" w:color="auto"/>
        <w:right w:val="none" w:sz="0" w:space="0" w:color="auto"/>
      </w:divBdr>
    </w:div>
    <w:div w:id="782848814">
      <w:bodyDiv w:val="1"/>
      <w:marLeft w:val="0"/>
      <w:marRight w:val="0"/>
      <w:marTop w:val="0"/>
      <w:marBottom w:val="0"/>
      <w:divBdr>
        <w:top w:val="none" w:sz="0" w:space="0" w:color="auto"/>
        <w:left w:val="none" w:sz="0" w:space="0" w:color="auto"/>
        <w:bottom w:val="none" w:sz="0" w:space="0" w:color="auto"/>
        <w:right w:val="none" w:sz="0" w:space="0" w:color="auto"/>
      </w:divBdr>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2A43-F402-4E76-9F43-D1261E79AA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B35E409-032B-4508-A9D9-1679DA852E34}">
  <ds:schemaRefs>
    <ds:schemaRef ds:uri="http://schemas.microsoft.com/sharepoint/v3/contenttype/forms"/>
  </ds:schemaRefs>
</ds:datastoreItem>
</file>

<file path=customXml/itemProps3.xml><?xml version="1.0" encoding="utf-8"?>
<ds:datastoreItem xmlns:ds="http://schemas.openxmlformats.org/officeDocument/2006/customXml" ds:itemID="{D0D29433-F452-43EC-8BC3-6354F25B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E611B8-8494-4675-BB64-0FA250A6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9420</Words>
  <Characters>53695</Characters>
  <Application>Microsoft Office Word</Application>
  <DocSecurity>0</DocSecurity>
  <Lines>447</Lines>
  <Paragraphs>125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2020-04-14T14:20:00Z</dcterms:created>
  <dcterms:modified xsi:type="dcterms:W3CDTF">2020-04-15T10:59:00Z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41603/13</vt:lpwstr>
  </property>
  <property fmtid="{D5CDD505-2E9C-101B-9397-08002B2CF9AE}" pid="4" name="CASEID">
    <vt:lpwstr>892234</vt:lpwstr>
  </property>
  <property fmtid="{D5CDD505-2E9C-101B-9397-08002B2CF9AE}" pid="5" name="ContentTypeId">
    <vt:lpwstr>0x010100558EB02BDB9E204AB350EDD385B68E10</vt:lpwstr>
  </property>
</Properties>
</file>